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ATAS/648/2025 vom 8. Februar 2023</w:t>
      </w:r>
    </w:p>
    <w:p>
      <w:r>
        <w:t>GE Cour de justice, 2023-02-08, FR</w:t>
      </w:r>
    </w:p>
    <w:p>
      <w:r>
        <w:rPr>
          <w:b/>
        </w:rPr>
        <w:t xml:space="preserve">Quelle: </w:t>
      </w:r>
      <w:r>
        <w:t>https://mcp.opencaselaw.ch/entscheid/ge_gerichte_ATAS_648_2025</w:t>
      </w:r>
    </w:p>
    <w:p>
      <w:r>
        <w:t>FR: GE_GERICHTE ATAS/648/2025 du 8 février 2023</w:t>
      </w:r>
    </w:p>
    <w:p>
      <w:r>
        <w:t>IT: GE_GERICHTE ATAS/648/2025 del 8 febbraio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2024, soit six mois après le dépôt de la demande du 11 août 2023 (cf. art. 29 al. 1 LAI), de sorte que les dispositions légales applicables seront citées dans leur nouvelle teneur.</w:t>
      </w:r>
    </w:p>
    <w:p>
      <w:r>
        <w:rPr>
          <w:b/>
        </w:rPr>
        <w:t>E. 2</w:t>
      </w:r>
    </w:p>
    <w:p>
      <w:r>
        <w:t>Le litige porte sur le droit du recourant à une rente d’invalidité, singulièrement sur l’évaluation de sa capacité de travail.</w:t>
      </w:r>
    </w:p>
    <w:p>
      <w:r>
        <w:rPr>
          <w:b/>
        </w:rPr>
        <w:t>E. 3</w:t>
      </w:r>
    </w:p>
    <w:p>
      <w:r>
        <w:t>Comorbidités On ne saurait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A/1186/2025 - 9/20 -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w:t>
      </w:r>
    </w:p>
    <w:p>
      <w:r>
        <w:t>A/1186/2025 - 10/20 -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 arrêt du Tribunal fédéral 9C_618/2019 du 16 mars 2020 consid. 8.3).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w:t>
      </w:r>
    </w:p>
    <w:p>
      <w:r>
        <w:t>A/1186/2025 - 5/20 -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3.2.1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t>A/1186/2025 - 6/20 -</w:t>
      </w:r>
    </w:p>
    <w:p>
      <w:r>
        <w:rPr>
          <w:b/>
        </w:rPr>
        <w:t>E. 3.2.2</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Á lui seul, un simple comportement ostensible ne permet pas de conclure à une exagération (ATF 141 V 281 consid. 2.2.1 et la référence).</w:t>
      </w:r>
    </w:p>
    <w:p>
      <w:r>
        <w:rPr>
          <w:b/>
        </w:rPr>
        <w:t>E. 3.2.3</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En l’absence d’un diagnostic psychiatrique, une telle appréciation n’a pas non plus à être effectuée (ATF 143 V 418 consid. 7.1 ; 409 consid. 4.5.3 ; arrêts du Tribunal fédéral 8C_43/2023 du 29 novembre 2023 consid. 5.2 ; 9C_101/2019 du 12 juillet 2019 consid. 4.3 ; 9C_176/2018 du 16 août 2018 consid. 3.2.2).</w:t>
      </w:r>
    </w:p>
    <w:p>
      <w:r>
        <w:rPr>
          <w:b/>
        </w:rPr>
        <w:t>E. 3.2.4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w:t>
      </w:r>
    </w:p>
    <w:p>
      <w:r>
        <w:t>A/1186/2025 - 7/20 -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sur les manifestations concrètes de l'atteinte à la santé diagnostiquée aident à séparer les limitations fonctionnelles qui sont dues à une atteinte à la santé des conséquences (directes) de facteurs non assurés. Le point de départ est le degré de gravité minimal inhérent au diagnostic. Il doit être rendu vraisemblable compte tenu de l’étiologie et de la pathogénèse de la pathologie déterminante pour le diagnostic (ATF 141 V 281 consid. 4.31.1 ; arrêt du Tribunal fédéral 9C_265/2023 du 19 août 2024 consid. 6.3 et la référence).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 du Tribunal fédéral 9C_762/2019 du 16 juin 2020 consid. 5.2). Le fait d'avoir été en mesure d'exercer une activité lucrative pendant de nombreuses années sans problème majeur est un élément important à prendre en considération dans l'évolution de la situation médicale de la personne assurée. Cet élément ne suffit toutefois pas pour en déduire une absence de gravité des atteintes à la santé (cf. arrêt du Tribunal fédéral 9C_618/2019 du 16 mars 2020 consid. 8.2.1.2).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Á l'inverse, le défaut de coopération optimale conduit plutôt à nier le caractère invalidant du trouble en question. Le résultat de l'appréciation dépend toutefois de</w:t>
      </w:r>
    </w:p>
    <w:p>
      <w:r>
        <w:t>A/1186/2025 - 8/20 - l'ensemble des circonstances individuelles du cas d'espèce (arrêt du Tribunal fédéral 9C_618/2019 du 16 mars 2020 consid. 8.2.1.3 et la référence).</w:t>
      </w:r>
    </w:p>
    <w:p>
      <w:r>
        <w:rPr>
          <w:b/>
        </w:rPr>
        <w:t>E. 3.2.5</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3.3</w:t>
      </w:r>
    </w:p>
    <w:p>
      <w:r>
        <w:t>Selon le principe de libre appréciation des preuves, pleinement valable en procédure judiciaire de recours dans le domaine des assurances sociales (cf. art. 61</w:t>
      </w:r>
    </w:p>
    <w:p>
      <w:r>
        <w:t>A/1186/2025 - 11/20 -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3.3.3</w:t>
      </w:r>
    </w:p>
    <w:p>
      <w:r>
        <w:t>En ce qui concerne les rapports établis par les médecins traitants, le juge peut et doit tenir compte du fait que, selon l'expérience, le médecin traitant est</w:t>
      </w:r>
    </w:p>
    <w:p>
      <w:r>
        <w:t>A/1186/2025 - 12/20 -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3.4.2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w:t>
      </w:r>
    </w:p>
    <w:p>
      <w:r>
        <w:t>A/1186/2025 - 13/20 -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3.5</w:t>
      </w:r>
    </w:p>
    <w:p>
      <w:r>
        <w:t>Selon la jurisprudence (ATF 139 V 496 consid. 4.3 ; 139 V 349 consid. 5.4), les frais découlant de la mise en œuvre d'une expertise judiciaire peuvent être mis à la charge de l'assurance-invalidité lorsque l'autorité judiciaire de première instance ordonne une expertise judiciaire parce qu'elle estime que l'instruction menée par l'autorité administrative est insuffisante (ATF 137 V 210 consid. 4.4.1.4). Cette autorité intervient dans les faits en lieu et place de l'autorité administrative qui aurait dû, en principe, mettre en œuvre cette mesure d'instruction dans le cadre de la procédure administrative. Dans ces circonstances, les frais de l'expertise ne constituent pas des frais de justice au sens de l'art. 69 al. 1bis LAI, mais des frais relatifs à la procédure administrative au sens de l'art. 45 LPGA.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réaliser une expertise</w:t>
      </w:r>
    </w:p>
    <w:p>
      <w:r>
        <w:t>A/1186/2025 - 14/20 - judiciaire (ATF 137 V 210 consid. 4.4.2 ; arrêt du Tribunal fédéral 9C_560/2024 du 11 décembre 2024 consid. 3 et les références).</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A/1186/2025 - 18/20 -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A/1186/2025 - 19/20 -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juin 2022 (date de la fin de la dernière mission temporaire)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t>A/1186/2025 - 20/20 -</w:t>
      </w:r>
    </w:p>
    <w:p>
      <w:r>
        <w:rPr>
          <w:b/>
        </w:rPr>
        <w:t>E. 10</w:t>
      </w:r>
    </w:p>
    <w:p>
      <w:r>
        <w:t>Traitement</w:t>
      </w:r>
    </w:p>
    <w:p>
      <w:r>
        <w:rPr>
          <w:b/>
        </w:rPr>
        <w:t>E. 10.1</w:t>
      </w:r>
    </w:p>
    <w:p>
      <w:r>
        <w:t>Examen du traitement suivi par la personne expertisée et analyse de son adéquation. Dans ce cadre, effectuer un dosage sanguin des traitements psychotropes et antalgiques.</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l'expertise du Dr D______ du 19 décembre 2024 ? En particulier avec les diagnostics posés et l'estimation d'une capacité de travail totale dans toute activité ? Si non, pourquoi ?</w:t>
      </w:r>
    </w:p>
    <w:p>
      <w:r>
        <w:rPr>
          <w:b/>
        </w:rPr>
        <w:t>E. 11.2</w:t>
      </w:r>
    </w:p>
    <w:p>
      <w:r>
        <w:t>Êtes-vous d’accord avec les avis du Dr C______ des 28 mars et 31 mai 2025 ? En particulier avec les diagnostics posés, les limitations fonctionnelles constatées et l’estimation d’une capacité de travail nulle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