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ATAS/648/2020 vom 17. August 2020</w:t>
      </w:r>
    </w:p>
    <w:p>
      <w:r>
        <w:t>GE Cour de justice, 2020-08-17, FR</w:t>
      </w:r>
    </w:p>
    <w:p>
      <w:r>
        <w:rPr>
          <w:b/>
        </w:rPr>
        <w:t xml:space="preserve">Quelle: </w:t>
      </w:r>
      <w:r>
        <w:t>https://mcp.opencaselaw.ch/entscheid/ge_gerichte_ATAS_648_2020</w:t>
      </w:r>
    </w:p>
    <w:p>
      <w:r>
        <w:t>FR: GE_GERICHTE ATAS/648/2020 du 17 août 2020</w:t>
      </w:r>
    </w:p>
    <w:p>
      <w:r>
        <w:t>IT: GE_GERICHTE ATAS/648/2020 del 17 agosto 2020</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w:t>
      </w:r>
    </w:p>
    <w:p>
      <w:r>
        <w:t>A/3011/2019 - 6/12 -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Interjeté dans la forme et le délai prévus par la loi, le recours est recevable (art. 56 ss LPGA et 62 ss LPA).</w:t>
      </w:r>
    </w:p>
    <w:p>
      <w:r>
        <w:rPr>
          <w:b/>
        </w:rPr>
        <w:t>E. 4</w:t>
      </w:r>
    </w:p>
    <w:p>
      <w:r>
        <w:t>Le litige porte sur le droit du recourant à une rente d’invalidité, singulièrement sur l’évaluation de sa capacité de travail dans une activité adaptée à ses limitations fonctionnelles ainsi que sur son droit à des mesures de réadaptation professionnelle.</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w:t>
      </w:r>
    </w:p>
    <w:p>
      <w:r>
        <w:t>A/3011/2019 - 7/12 -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rPr>
          <w:b/>
        </w:rPr>
        <w:t>E. 8</w:t>
      </w:r>
    </w:p>
    <w:p>
      <w:r>
        <w:t>a.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b. Se pose en premier lieu la question de savoir si l'assuré est invalide ou menacé d'une invalidité permanente (art. 28 al. 1er LAI). On rappellera qu'il n'existe pas un droit inconditionnel à obtenir une mesure professionnelle (voir par ex. l'arrêt du Tribunal fédéral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 c. Le droit à l'orientation professionnelle selon l'art. 15 LAI suppose que l'assuré est capable en lui-même de faire le choix d'une profession ou d'une nouvelle</w:t>
      </w:r>
    </w:p>
    <w:p>
      <w:r>
        <w:t>A/3011/2019 - 8/12 - orientation professionnelle, mais que suite à la survenance d'une atteinte à la santé il en est empêché parce que les connaissances relatives aux aptitudes, capacités professionnelles et possibilités ne suffisent pas pour pouvoir faire le choix d'une profession adaptée au handicap ou d'une nouvelle orientation dans une telle profession (arrêt du Tribunal fédéral 9C 236/2012 du 15 février 2013).</w:t>
      </w:r>
    </w:p>
    <w:p>
      <w:r>
        <w:rPr>
          <w:b/>
        </w:rPr>
        <w:t>E. 9</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w:t>
      </w:r>
    </w:p>
    <w:p>
      <w:r>
        <w:t>A/3011/2019 - 9/12 - fiabilité ou à la pertinence des constatations effectuées par le SMR (ATF 142 V 58 consid. 5; ATF 135 V 465 consid. 4.4 et 4.6; arrêt du Tribunal fédéral 9C_371/2018 du 16 août 2018 consid. 4.3.1).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Conformément au principe inquisitoire qui régit la procédure dans le domaine des assurances sociales, le juge des assurances sociales doit procéder à des</w:t>
      </w:r>
    </w:p>
    <w:p>
      <w:r>
        <w:t>A/3011/2019 - 10/12 -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13</w:t>
      </w:r>
    </w:p>
    <w:p>
      <w:r>
        <w:t>En l’occurrence, l’intimé a estimé, sur la base de l’avis du SMR du 7 mai 2019, que le recourant était totalement incapable d’exercer son ancienne activité de maçon depuis le 11 février 2016, mais capable d’exercer une activité adaptée à ses limitations fonctionnelles à 100 % depuis toujours (alternance des positions assis- debout, pas d’activité penché en avant ou en porte-à-faux, pas de rotation du tronc répétée, pas d’échelle ou d’échafaudage, pas de port de charge de plus de 15 kg, pas de station et de marche prolongée, pas de marche en terrain irrégulier ou instable, pas de travail accroupi ou à genoux). Le recourant estime que sa capacité de travail est limitée à 50 % dans une activité adaptée, en se prévalant de l’avis de la Dresse B______. La chambre de céans a demandé à cette dernière des renseignements complémentaires. Cependant, ceux-ci ne sont pas suffisamment motivés et convaincants pour admettre que la capacité de travail du recourant serait restreinte dans une activité adaptée à ses limitations fonctionnelles. En effet, requise par la chambre de céans de préciser les motifs qui justifieraient cette limitation de la capacité de travail du recourant, la Dresse</w:t>
      </w:r>
    </w:p>
    <w:p>
      <w:r>
        <w:t>A/3011/2019 - 11/12 - B______ a évoqué des lombalgies et une somnolence diurne. Or, les lombalgies entrainent des limitations fonctionnelles qui sont reconnues par l’intimé et qui peuvent être respectées dans le cadre d’une activité adaptée ; par ailleurs la somnolence diurne, évoquée seulement le 20 janvier 2020, n’a pas été mentionnée dans le rapport du Dr F______ du 21 janvier 2020 et n’a pas non plus fait l’objet d’un rapport d’un médecin spécialiste. En l’état, aucun élément médical pertinent ne permet de mettre en doute les conclusions du SMR du 7 mai 2019 quant à une capacité de travail totale du recourant dans une activité adaptée à ses limitations fonctionnelles. Cela est d’autant plus vrai que le Dr F______, dans sa récente évaluation de l’état de santé du recourant, même s’il a indiqué ne pas pouvoir se prononcer sur le taux l’invalidité du recourant, a néanmoins clairement relevé qu’un travail adapté pouvait être accompli à plein temps (éviter la flexion répétée, le port et levage de charge). Dans ces conditions et par appréciation anticipée des preuves, une instruction médicale complémentaire par le biais d’une expertise judiciaire ne se justifie pas.</w:t>
      </w:r>
    </w:p>
    <w:p>
      <w:r>
        <w:rPr>
          <w:b/>
        </w:rPr>
        <w:t>E. 14</w:t>
      </w:r>
    </w:p>
    <w:p>
      <w:r>
        <w:t>Le calcul du degré d’invalidité est contesté dans la mesure où le recourant estime que son revenu d’invalide devrait être réduit de 65 % (50 % de baisse de rendement et 15 % d’abattement). Compte tenu de l’évaluation de la capacité de travail précitée, une baisse de rendement de 50 % n’est pas justifiée. Quant à l’abattement, l’intimé l’a déjà retenu à hauteur de 15 %. Le degré d’invalidité de 5 % ne peux ainsi qu’être confirmé.</w:t>
      </w:r>
    </w:p>
    <w:p>
      <w:r>
        <w:rPr>
          <w:b/>
        </w:rPr>
        <w:t>E. 15</w:t>
      </w:r>
    </w:p>
    <w:p>
      <w:r>
        <w:t>LAI) n’entre pas non plus en considération.</w:t>
      </w:r>
    </w:p>
    <w:p>
      <w:r>
        <w:rPr>
          <w:b/>
        </w:rPr>
        <w:t>E. 16</w:t>
      </w:r>
    </w:p>
    <w:p>
      <w:r>
        <w:t>Au vu de ce qui précède, le recours ne peut qu’être rejeté. Au vu du sort du recours, il y a lieu de condamner le recourant au paiement d'un émolument de CHF 200.- (art. 69 al 1 bis LAI).</w:t>
      </w:r>
    </w:p>
    <w:p>
      <w:r>
        <w:t>A/3011/2019 - 12/12 -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