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ATAS/648/2015 vom 1. September 2015</w:t>
      </w:r>
    </w:p>
    <w:p>
      <w:r>
        <w:t>GE Cour de justice, 2015-09-01, FR</w:t>
      </w:r>
    </w:p>
    <w:p>
      <w:r>
        <w:rPr>
          <w:b/>
        </w:rPr>
        <w:t xml:space="preserve">Quelle: </w:t>
      </w:r>
      <w:r>
        <w:t>https://mcp.opencaselaw.ch/entscheid/ge_gerichte_ATAS_648_2015</w:t>
      </w:r>
    </w:p>
    <w:p>
      <w:r>
        <w:t>FR: GE_GERICHTE ATAS/648/2015 du 1 septembre 2015</w:t>
      </w:r>
    </w:p>
    <w:p>
      <w:r>
        <w:t>IT: GE_GERICHTE ATAS/648/2015 del 1 settembre 2015</w:t>
      </w:r>
    </w:p>
    <w:p>
      <w:pPr>
        <w:pStyle w:val="Heading2"/>
      </w:pPr>
      <w:r>
        <w:t>Erwägungen</w:t>
      </w:r>
    </w:p>
    <w:p>
      <w:r>
        <w:rPr>
          <w:b/>
        </w:rPr>
        <w:t>E. 20</w:t>
      </w:r>
    </w:p>
    <w:p>
      <w:r>
        <w:t>Invité à se déterminer, le médecin du SMR a relevé, le 6 décembre 2014, que dans son courrier du 21 août 2014, le Dr F______ indique en réalité être d’accord avec les diagnostics retenus par l’expert, mais déclare que la capacité de travail de sa patiente est nulle dans toute activité et ajoute ne pas voir quel type d’activité adaptée celle-ci pourrait exercer, étant donné son âge avancé, son niveau de formation professionnelle, mais aussi la présence de douleurs articulaires sur divers segments du rachis. Le médecin du SMR en conclut que ces observations ne contiennent aucun élément clinique objectif susceptible de modifier l’appréciation du SMR du 15 mai 2013.</w:t>
      </w:r>
    </w:p>
    <w:p>
      <w:r>
        <w:rPr>
          <w:b/>
        </w:rPr>
        <w:t>E. 21</w:t>
      </w:r>
    </w:p>
    <w:p>
      <w:r>
        <w:t>Par décision du 12 février 2015, l’OAI a fixé le montant de la demi-rente d’invalidité due à l’assurée à CHF 1'072.- dès janvier 2015.</w:t>
      </w:r>
    </w:p>
    <w:p>
      <w:r>
        <w:rPr>
          <w:b/>
        </w:rPr>
        <w:t>E. 22</w:t>
      </w:r>
    </w:p>
    <w:p>
      <w:r>
        <w:t>L’assurée, par l’intermédiaire de son mandataire, a interjeté recours le 16 mars 2015 contre ladite décision. Elle a, préalablement, sollicité qu’un délai lui soit accordé pour compléter son recours et, principalement, conclu à ce que le droit à une rente entière d’assurance-invalidité lui soit reconnu.</w:t>
      </w:r>
    </w:p>
    <w:p>
      <w:r>
        <w:rPr>
          <w:b/>
        </w:rPr>
        <w:t>E. 23</w:t>
      </w:r>
    </w:p>
    <w:p>
      <w:r>
        <w:t>Par courrier du 17 avril 2015, soit dans le délai à elle imparti par la chambre de céans, l’assurée, représentée par Me Pierre-Bernard PETITAT, a souligné que tous les médecins l’ayant auscultée depuis 2011, soit les Drs D______, F______,</w:t>
      </w:r>
    </w:p>
    <w:p>
      <w:r>
        <w:t>A/885/2015 - 6/15 - H______ et les médecins du SMR, s’accordent sur les diagnostics, sur l’importance des atteintes à la santé et sur la symptomatologie douloureuse. L’expert, en revanche, minimise l’impact réel de ses affections sur les activités quotidiennes et professionnelles. Elle considère qu’aucune activité adaptée n’est exigible, compte tenu du fait qu’elle ne peut pas rester assise plus de quelques minutes, ni debout et statique, et ne voit dès lors pas, tout comme la Dresse D______, quel type d’activité elle pourrait exercer, quelques heures par semaine, avec la possibilité de changer de position au bout de quelques minutes, et sans port de charges. S’agissant de la détermination du degré d’invalidité, elle constate que le taux d’abattement de 15% retenu par l’OAI ne tient pas suffisamment compte du fait qu’elle est âgée de 61 ans et qu’elle n’a pas de formation. Elle persiste en conséquence dans les conclusions de son recours.</w:t>
      </w:r>
    </w:p>
    <w:p>
      <w:r>
        <w:rPr>
          <w:b/>
        </w:rPr>
        <w:t>E. 24</w:t>
      </w:r>
    </w:p>
    <w:p>
      <w:r>
        <w:t>Dans sa réponse du 18 mai 2015, l’OAI a conclu au rejet du recours. Il explique qu’il s’est fondé sur le rapport d’expertise du Dr H______, lequel doit se voir reconnaître pleine valeur probante, ajoutant que les médecins traitants n’amènent pas d’éléments objectivement vérifiables qui auraient été ignorés par l’expert.</w:t>
      </w:r>
    </w:p>
    <w:p>
      <w:r>
        <w:rPr>
          <w:b/>
        </w:rPr>
        <w:t>E. 25</w:t>
      </w:r>
    </w:p>
    <w:p>
      <w:r>
        <w:t>Dans sa réplique du 15 juin 2015, l’assurée souligne que ce ne sont pas les constatations objectives du Dr H______ qui sont contestées, mais bien plutôt l’interprétation de celles-ci. Elle persiste dans ses conclusions.</w:t>
      </w:r>
    </w:p>
    <w:p>
      <w:r>
        <w:rPr>
          <w:b/>
        </w:rPr>
        <w:t>E. 26</w:t>
      </w:r>
    </w:p>
    <w:p>
      <w:r>
        <w:t>Dans sa duplique du 25 juin 2015, l’OAI constate que le reproche qui est adressé au Dr H______ est celui de ne pas avoir suffisamment tenu compte des douleurs ressenties par la recourante et rappelle que les douleurs ne sont précisément pas des constatations objectives.</w:t>
      </w:r>
    </w:p>
    <w:p>
      <w:r>
        <w:rPr>
          <w:b/>
        </w:rPr>
        <w:t>E. 27</w:t>
      </w:r>
    </w:p>
    <w:p>
      <w:r>
        <w:t>Ce courrier a été transmis à l’assurée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2. Sa compétence pour juger du cas d’espèce est ainsi établie.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w:t>
      </w:r>
    </w:p>
    <w:p>
      <w:r>
        <w:t>A/885/2015 - 7/15 - les références). En ce qui concerne en revanche la procédure, et à défaut de règles transitoires contraires, le nouveau droit s'applique sans réserve dès le jour de son entrée en vigueur (ATF 117 V 93 consid. 6b; ATF 112 V 360 consid. 4a; RAMA 1998 KV 37 p. 316 consid. 3b). 4. En l'espèce, les faits juridiquement déterminants remontent à 2011.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 5. Le délai de recours est de 30 jours. Interjeté dans la forme et le délai prévus par la loi, le recours est recevable (art. 56 à 61 LPGA). 6. Le litige porte sur le droit de l’assurée à une rente entière d’invalidité.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Pour pouvoir calculer le degré d’invalidité, l’administration (ou le juge, s’il y a eu un recours) a besoin de documents qu’un médecin, éventuellement d’autres</w:t>
      </w:r>
    </w:p>
    <w:p>
      <w:r>
        <w:t>A/885/2015 - 8/15 -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w:t>
      </w:r>
    </w:p>
    <w:p>
      <w:r>
        <w:t>A/885/2015 - 9/15 -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w:t>
      </w:r>
    </w:p>
    <w:p>
      <w:r>
        <w:t>A/885/2015 - 10/15 -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ATF 123 V 150 consid. 2 et les références; arrêt du Tribunal fédéral 8C_337/2009 du 18 février 2010 consid. 7.5). 12.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t>A/885/2015 - 11/15 -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13.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w:t>
      </w:r>
    </w:p>
    <w:p>
      <w:r>
        <w:t>A/885/2015 - 12/15 -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14. En l'espèce, l’OAI a mandaté le Dr H______ pour expertise. Dans son rapport du 22 novembre 2013, celui-ci a estimé la capacité de travail de l’assurée dans son ancienne activité d’employée de salle à manger d’EMS à 40% et dans une activité adaptée à 75%. Il a précisé que l’assurée présentait une limitation concernant les ports de charges avec long bras de levier et porte-à-faux de manière répétitive de plus de 5 kg, ainsi que les mouvements de l’épaule droit au-dessus de l’horizontale en abduction et en antéversion de manière répétitive. Dans une note du 5 février 2014, le médecin du SMR toutefois s’est écarté de l’avis de l’expert et a considéré que dans l’activité habituelle, la capacité de travail de l’assurée restait nulle, compte tenu du cahier des charges d’une employée de cafétéria. En revanche, dans une activité capable de respecter les limitations fonctionnelles figurant ci-dessus, d’un point de vue médico-théorique, il lui a paru tout à fait acceptable de retenir une exigibilité de 75% dès janvier 2012. La chambre de céans constate que le rapport d’expertise se base sur l’étude approfondie du dossier médical de la recourante, ainsi que sur des examens cliniques complets. Les anamnèses sont précises et détaillées, et les plaintes de la recourante ont été prises en considération. L’appréciation de la situation médicale est claire et l’expert s’est déterminé sur la capacité de travail et les limitations fonctionnelles. Il a dûment expliqué et motivé son point de vue. Ses conclusions sont cohérentes et convaincantes. Il y a toutefois lieu de suivre le SMR dans son</w:t>
      </w:r>
    </w:p>
    <w:p>
      <w:r>
        <w:t>A/885/2015 - 13/15 - analyse de la capacité de travail de l’assurée dans son activité d’employée dans une cafétéria d’EMS et de considérer que celle-ci est de 0%. Il s’ensuit que ce rapport, hormis ce point, remplit les réquisits jurisprudentiels pour que lui soit accordée une pleine valeur probante. 15. L’assurée, quant à elle, considère qu’aucune activité adaptée n’est exigible d’elle. Elle reproche à l’expert de minimiser l’impact réel de ses affections sur les activités quotidiennes et professionnelles. Elle déclare ne pas contester les constatations objectives du Dr H______, mais bien plutôt l’interprétation qu’il en donne. 16. Il y a lieu de constater que les Drs D______, F______ et H______, ainsi que les médecins du SMR, retiennent les mêmes diagnostics. Les médecins traitants sont en revanche d’avis que la capacité de travail de l’assurée est nulle, quelle que soit l’activité envisagée. Le Dr F______ a confirmé le 21 août 2014 que le pronostic, quant à la reprise d’une quelconque activité professionnelle, était défavorable, vu la symptomatologie douloureuse, et la Dresse D______ a indiqué, le 15 septembre 2014, que la recourante présentait des « rachialgies extrêmement invalidantes » et que sa capacité de travail était en conséquence « au maximum de 20% dans une activité adaptée ». Les médecins font ainsi état pour justifier leur appréciation de la capacité de travail, non pas d’atteintes objectives qui n’auraient pas été prises en compte par l’expert, mais des douleurs dont souffre l’assurée. Force est, au vu de ce qui précède, de constater que les observations des médecins traitants ne suffisent pas à mettre en doute les conclusions de l’expert, dans la mesure où les douleurs évoquées - dont l’expert du reste a également reconnu l’existence - ne sauraient en l’état justifier à elles seules de prendre en considération une incapacité totale de travail, de sorte qu’il y a lieu de retenir la capacité de travail dans une activité adaptée fixée par l’expert à 75%. 17. Reste à déterminer le degré d’invalidité. 18. Un degré d’invalidité de 53,8% a été retenu, compte tenu d’un taux d’abattement de 15% - en lieu et place des 10% précédemment retenus -, en raison des limitations fonctionnelles, de l’âge de l’assurée, des années de service dans l’activité principale (21 ans) et du fait que seule une activité légère est exigible. L’assurée considère toutefois que le taux d’abattement de 15% ne tient pas encore suffisamment compte du fait qu’elle est âgée de 61 ans et qu’elle n’a pas de formation. Il y a lieu de rappeler que l'administration dispose d'un large pouvoir d'appréciation pour fixer le taux d’abattement. Le juge doit ainsi faire preuve de retenue lorsqu'il est amené à vérifier le bien-fondé d'une telle appréciation. L'examen porte alors sur le point de savoir si une autre solution que celle que l'autorité, dans le cas concret, a</w:t>
      </w:r>
    </w:p>
    <w:p>
      <w:r>
        <w:t>A/885/2015 - 14/15 - adoptée dans le cadre de son pouvoir d'appréciation et en respectant les principes généraux du droit, n'aurait pas été plus judicieuse quant à son résultat. Pour autant, le juge ne peut, sans motif pertinent, substituer son appréciation à celle de l'administration. En fixant à 15% le taux d’abattement, l’OAI a déjà entendu tenir compte de l’âge de l’assurée. S’agissant de l’absence de formation, il apparaît que le marché du travail offre un éventail suffisamment large d'activités légères, dont on doit convenir qu'un nombre significatif sont adaptées aux limitations du recourant et accessibles sans aucune formation particulière. Pour ces motifs, le taux de 15% n’apparaît pas critiquable. Quoi qu’il en soit, même si l’on admettait un taux d’abattement de 20%, le degré d’invalidité ne dépasserait pas 56%, ce qui ne suffirait pas non plus à justifier l’octroi d’un trois-quarts de rente. Aussi le recours ne peut-il être que rejeté. 19.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w:t>
      </w:r>
    </w:p>
    <w:p>
      <w:r>
        <w:t>A/885/2015 - 15/15 -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