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ATAS/648/2011 vom 22. Juni 2011</w:t>
      </w:r>
    </w:p>
    <w:p>
      <w:r>
        <w:t>GE Cour de justice, 2011-06-22, FR</w:t>
      </w:r>
    </w:p>
    <w:p>
      <w:r>
        <w:rPr>
          <w:b/>
        </w:rPr>
        <w:t xml:space="preserve">Quelle: </w:t>
      </w:r>
      <w:r>
        <w:t>https://mcp.opencaselaw.ch/entscheid/ge_gerichte_ATAS_648_2011</w:t>
      </w:r>
    </w:p>
    <w:p>
      <w:r>
        <w:t>FR: GE_GERICHTE ATAS/648/2011 du 22 juin 2011</w:t>
      </w:r>
    </w:p>
    <w:p>
      <w:r>
        <w:t>IT: GE_GERICHTE ATAS/648/2011 del 22 giugno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Elle est également compétente pour connaître des contestations prévues à l'art. 38A de la loi cantonale sur les allocations familiales du 1er mars 1996 (LAF; J 5 10 et art. 134 al. 3 let. e LOJ), applicable en l'espèce, et celles relatives à la loi cantonale instituant une assurance en cas de maternité et d'adoption, du 21 avril 2005 (LAMAt; J 5 07) en vertu de l'art 134 LOJ. Sa compétence pour juger du cas d’espèce est ainsi établie.</w:t>
      </w:r>
    </w:p>
    <w:p>
      <w:r>
        <w:rPr>
          <w:b/>
        </w:rPr>
        <w:t>E. 2</w:t>
      </w:r>
    </w:p>
    <w:p>
      <w:r>
        <w:t>Interjeté dans les forme et délais prescrits, le recours formé le 17 février 2011 contre la décision sur opposition de la caisse du 7 février 2011 est recevable (art. 56 et ss. LPGA; art. 38A LAF; art. 20 LAMat).</w:t>
      </w:r>
    </w:p>
    <w:p>
      <w:r>
        <w:rPr>
          <w:b/>
        </w:rPr>
        <w:t>E. 3</w:t>
      </w:r>
    </w:p>
    <w:p>
      <w:r>
        <w:t>Le litige porte sur l'obligation de paiement par la recourante des cotisations sociales pour l'activité déployée par l'appelé en cause en 2007, singulièrement sur la détermination du statut de salarié ou d'indépendant du précité.</w:t>
      </w:r>
    </w:p>
    <w:p>
      <w:r>
        <w:rPr>
          <w:b/>
        </w:rPr>
        <w:t>E. 4</w:t>
      </w:r>
    </w:p>
    <w:p>
      <w:r>
        <w:t>Est réputé salarié celui qui fournit un travail dépendant et qui reçoit pour ce travail un salaire déterminant au sens des lois spéciales (art. 10 LPGA). Cette disposition</w:t>
      </w:r>
    </w:p>
    <w:p>
      <w:r>
        <w:t>A/481/2011 - 5/9 - renvoie aux lois spéciales et n'a aucun effet sur ces dernières. En effet, elle ne prévoit ni une annulation de ces dernières, ni n'introduit d'éventuelles dérogations dans les lois spéciales (ATFA non publié H 2/06 du 10 avril 2006, consid. 6).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 12 LPGA).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selon la jurisprudence développée en matière d'AVS s'appliquant d'ailleurs à l'interprétation des dispositions de la LPGA précisant les notions de travailleur salarié et de personne exerçant une activité lucrative indépendante (art. 10 et 12 LPGA; KIESER, ATSG- Kommentar, Zurich 2003, ad art. 10, n°8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du cas. Souvent, on trouvera des caractéristiques appartenant à ces deux genres d'activité; pour trancher la question, on se demandera quels éléments sont prédominants dans le cas considéré (ATF 123 V 171 consid. 1, 122 V 171 consid. 3a, 283 consid. 2a, 119 V 161 consid. 2 et les arrêts cités).</w:t>
      </w:r>
    </w:p>
    <w:p>
      <w:r>
        <w:t>A/481/2011 - 6/9 - La notion de dépendance englobe les rapports créés par un contrat de travail, mais elle les déborde largement. Ce n'est pas la nature juridique, en droit des obligations, du lien établi entre les parties, mais l'ensemble des circonstances économiques qui est décisif (DUC, in GREBER/DUC/SCATAZZINI,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économique de l'entreprise sont le droit de l'employeur de donner des instructions, le rapport de subordination du travailleur à l'égard de celui-ci, l'obligation de ce dernier d'exécuter personnellement la tâche qui lui est confiée (ATFA non publié H 2/06 du 19 mai 2006,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78 consid. 4b). En outre, la possibilité pour le travailleur d'organiser son horaire de travail ne signifie pas nécessairement qu'il s'agit d'une activité indépendante (ATFA non publié du 19 mai 2006, op. cit., consid. 2.3).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op.cit., consid. 2.3). Lors de l'appréciation d'un cas particulier, le fait qu'un assuré soit affilié à une caisse de compensation en qualité de travailleur indépendant ou qu'il travaille simultanément pour plusieurs employeurs n'est pas décisif; il n'en devient pas pour autant un assuré ayant une activité indépendante. Seul un examen détaillé de l'ensemble des circonstances économiques concrètes du cas d'espèce permet de déterminer si l'on est en présence d'une activité dépendante ou indépendante. Cela étant,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(ATFA non publié du 14 février 2007, H 19/2006; LANZ, Die Abgrenzung des selbständigen</w:t>
      </w:r>
    </w:p>
    <w:p>
      <w:r>
        <w:t>A/481/2011 - 7/9 - von den unselbständigen Erwerbstätigkeit im Sozialversicherungs-, Steuer-und Zivilrecht, in: PJA 12/1997 p.1474 sv.; GREBER/DUC/SCATAZZINI, Commentaire des art. 1 à 16 de la loi fédérale sur l'assurance-vieillesse et survivants [LAVS], Bâle 1997, n. 103 ad art. 5; KÄSER, Unterstellung und Beitragswesen in der obligatorischen AHV, Berne 1996, p. 120, n.4.30).</w:t>
      </w:r>
    </w:p>
    <w:p>
      <w:r>
        <w:rPr>
          <w:b/>
        </w:rPr>
        <w:t>E. 5</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op. cit., consid. 3.3 eet les références citées). Selon la jurisprudence et la doctrine, l'autorité administrative ou le juge ne doivent considérer un fait comme prouvé que lorsqu'ils sont convaincus de sa réalité (ATFA non publié H 125/04 du 7 mars 2005, consid. 7.3). Ainsi, en ce qui concerne la preuve, le juge des assurances sociales fonde sa décision, sauf disposition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faits allégués ou envisageables, le juge doit, le cas échéant, retenir ceux qui lui paraissent les plus probables (ATF 126 V 360 consid. 5b, 125 V 195 consid. 2 et les références; cf. ATF 130 III 3324 consid. 3.2 et 3.3). Aussi n'existe-t-il pas, en droit des assurances sociales, un principe selon lequel l'administration ou le juge devrait statuer, dans le doute, en faveur de l'assuré (ATF 126 V 322 consid. 5a).</w:t>
      </w:r>
    </w:p>
    <w:p>
      <w:r>
        <w:rPr>
          <w:b/>
        </w:rPr>
        <w:t>E. 6</w:t>
      </w:r>
    </w:p>
    <w:p>
      <w:r>
        <w:t>En l'espèce, lors de l'examen des livres comptables de la société, la SUVA a considéré que les rémunérations versées à l'appelé en cause en 2007 relevaient de l'activité salariée. De même, l'intimée est d'avis que l'activité de l'appelé en cause pour la société doit être qualifiée de salariée en se fondant tant sur la décision de la SUVA que sur l'arrêt du TCAS (ATAS/1208/2010) qui a estimé qu'en 2007, l'appelé en cause a consacré la majeure partie de son temps à la société recourante, dont il tirait ainsi la quasi-totalité de ses revenus. Il se trouvait d'ailleurs dans un rapport de dépendance économique avec la recourante puisqu'en cas d'interruption de cette activité, il se serait retrouvé dans une situation semblable à celle d'un salarié qui perd son emploi (ATF H 169/04 du 21 avril 2005 op. cit. consid. 5.1; ATF 119 V 163 consid. 3b). Le TCAS retenait par ailleurs qu'il n'apparaissait pas que l'appelé en cause ait opéré des investissements importants ou assumé un véritable risque économique</w:t>
      </w:r>
    </w:p>
    <w:p>
      <w:r>
        <w:t>A/481/2011 - 8/9 - d'entrepreneur, qu'il ait supporté lui-même les frais généraux, voire occupé et rétribué du personnel et utilisé ses propres locaux commerciaux dans le cadre des travaux de peinture exercés pour la société. Il n'avait pas non plus été démontré, ni même affirmé, qu'il disposait d'une large autonomie organisationnelle, lui permettant de déléguer des tâches, dans ce cadre. Le TCAS observait également que le fait que l'appelé en cause ait facturé ses services n'était pas un critère déterminant pour admettre qu'il s'agissait d'une activité indépendante. Il en allait de même du fait qu'il ait travaillé pour d'autres particuliers. De son côté, la recourante conteste que l'appelé en cause ait déployé une activité principale pour elle et qu'il soit considéré comme un salarié, sans pour autant réussir à établir que le précité n'a pas consacré la majeure partie de son temps à son service. Au contraire, il ressort des pièces comptables figurant au dossier qu'en 2007, l'appelé en cause a réalisé un revenu annuel de 46'000 fr. pour l'activité déployée pour le compte de la recourante et qu'il n'a pas versé de cotisations en qualité d'indépendant. Ainsi, contrairement à ce que soutient la recourante, l'affiliation auprès de l'intimée en qualité d'indépendant ne suffit pas à ce que ce statut lui soit reconnu. Dès lors, au vu de l'ensemble des circonstances, il y a lieu d'admettre, à l'instar de l'intimée, qu'il n'y a pas d'indice permettant de conclure à l'existence d'une activité indépendante. Les éléments caractéristiques de la libre entreprise ne sont en effet pas suffisants pour que l'on puisse admettre que l'appelé en cause traitait sur un pied d'égalité avec l'entreprise, même s'il disposait de son propre outillage et utilisait son véhicule personnel. En effet, cela ne suffit pas à conclure à un investissement important au sens de la jurisprudence (VSI 1996 p. 258 consid. 3c et les références). Même s'il était libre d'organiser son travail à sa convenance, il n'en demeurait pas moins tributaire, pour l'essentiel, de la recourante quant à l'obtention des mandats qui lui étaient confiés. Pour tous ces motifs, l'appelé en cause doit être considéré comme travailleur salarié de la recourante. Aussi, les considérants de l'arrêt du TCAS du 25 novembre 2010 (ATAS/1208/2010) doivent être maintenus quant à la qualification du statut de l'appelé en cause. Il s'ensuit que le recours, mal fondé, sera rejeté.</w:t>
      </w:r>
    </w:p>
    <w:p>
      <w:r>
        <w:rPr>
          <w:b/>
        </w:rPr>
        <w:t>E. 7</w:t>
      </w:r>
    </w:p>
    <w:p>
      <w:r>
        <w:t>La procédure est gratuite.</w:t>
      </w:r>
    </w:p>
    <w:p>
      <w:r>
        <w:t>A/481/2011 - 9/9 -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