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ATAS/648/2009 vom 22. Mai 2009</w:t>
      </w:r>
    </w:p>
    <w:p>
      <w:r>
        <w:t>GE Cour de justice, 2009-05-22, FR</w:t>
      </w:r>
    </w:p>
    <w:p>
      <w:r>
        <w:rPr>
          <w:b/>
        </w:rPr>
        <w:t xml:space="preserve">Quelle: </w:t>
      </w:r>
      <w:r>
        <w:t>https://mcp.opencaselaw.ch/entscheid/ge_gerichte_ATAS_648_2009</w:t>
      </w:r>
    </w:p>
    <w:p>
      <w:r>
        <w:t>FR: GE_GERICHTE ATAS/648/2009 du 22 mai 2009</w:t>
      </w:r>
    </w:p>
    <w:p>
      <w:r>
        <w:t>IT: GE_GERICHTE ATAS/648/2009 del 22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Le recours ayant été interjeté dans les forme et délai prévus par la loi (art. 56 à 60 LPGA), il y a lieu de le déclarer recevable, à l’exception de la conclusion visant à l’octroi d’un moyen auxiliaire (lit). En effet, dans la mesure où la décision litigieuse n’a pas porté sur ce point, ce dernier sort du cadre de l’objet du litige. Il appartiendra à la recourante, cas échéant, de déposer une demande de moyen auxiliaire en bonne et due forme devant l’intimé.</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w:t>
      </w:r>
    </w:p>
    <w:p>
      <w:r>
        <w:t>A/2356/2008 - 8/15 -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est postérieure à l'entrée en vigueur de la LPGA ainsi qu'à celle,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Le présent litige concerne le droit de la recourante à des prestations de l'assurance- invalidité, singulièrement son statut et son degré d'invalidité.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LAI dans sa teneur en vigueur jusqu'au 31 décembre 2003, l'assuré a droit à une rente entière s'il est invalide à 66 2/3 % au moins, à une demi- 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w:t>
      </w:r>
    </w:p>
    <w:p>
      <w:r>
        <w:t>A/2356/2008 - 9/15 -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 quarts de rente à l'assuré dont le degré d'invalidité atteint 60 %, alors que le taux ouvrant droit à une rente entière est passé de 66 à 70 %.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w:t>
      </w:r>
    </w:p>
    <w:p>
      <w:r>
        <w:t>A/2356/2008 - 10/15 -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a) Pour établir la capacité de travail de la recourante, l'OCAI a demandé au Dr C_________ de procéder à une expertise, mais s’est finalement écarté des conclusions de cette dernière en se basant sur l’avis du Dr E_________, médecin auprès du SMR, et sur les résultats de l’enquête ménagère. b) Il convient tout d'abord de se prononcer sur la valeur à accorder à l'expertise du Dr C_________. Ainsi que le fait remarquer à juste titre le Dr E_________, ce médecin ne motive guère la capacité de travail de 40% qu’il reconnaît en définitive à l’assurée. En particulier, les limitations fonctionnelles entrainées par ses atteintes cervicale et lombaire ne sont pas énumérées précisément. L’avis du Dr E_________ - dont il convient de rappeler qu’il n’a pas personnellement examiné la recourante - n’est pas plus étayé sur ce point. Il se contente de mettre en doute l’évaluation du Dr C_________ et d’émettre l’avis que</w:t>
      </w:r>
    </w:p>
    <w:p>
      <w:r>
        <w:t>A/2356/2008 - 11/15 - la diminution de la capacité de travail atteint 40% tout au plus, dans un poste ne sollicitant pas exagérément la colonne cervicale. Par ailleurs, le Dr E_________ tire argument du fait que le Dr A_________ avait qualifié le syndrome lombaire de modéré en 2002. Or le rapport du Dr A_________ remonte non pas à 2002 mais à 1992, soit près de quatorze ans plus tôt. On ne saurait dès lors en tirer la moindre conclusion dans le cas présent. Le rapport d’expertise du Dr C_________ n’explique pas de manière suffisamment précise les interactions entre les différentes pathologies et les conséquences de celles-ci sur la capacité à effectuer certaines tâches. Il en découle en définitive que ses conclusions ne sauraient être qualifiée de convaincantes, car insuffisamment motivées. Enfin, le Dr C_________ semble faire une confusion entre les notions de degré d’invalidité et de capacité de travail, ce qui ajoute à l’ambigüité de ses conclusions. Il fait par ailleurs allusion à un trouble dépressif récurrent épisode moyen, qu’il n’étaye pas véritablement, et qu’il semble ensuite prendre en compte dans l’évaluation de la capacité de travail, sans que cela soit tout à fait clair. A cet égard, le Dr E_________, lui, subodore que cet état dépressif serait la conséquence de difficultés d’intégration, mais cela n’est pas confirmé par un spécialiste. c) Il suit de ce qui précède que le rapport du Dr C_________ ne saurait suffire au Tribunal de céans pour se prononcer sur la capacité résiduelle de travail de l’assurée, d’autant que l’état dépressif diagnostiqué tant par le Dr C_________ que par la Dresse B_________ n’a fait l’objet d’aucune investigation supplémentaire par un spécialiste. Il conviendrait dès lors de soumettre la recourante à une nouvelle expertise pluridisciplinaire, tant sur le plan rhumatologique que psychique, afin de pouvoir déterminer clairement quelles sont les atteintes à la santé et, surtout, leurs répercussions éventuelles sur sa capacité de travail.</w:t>
      </w:r>
    </w:p>
    <w:p>
      <w:r>
        <w:rPr>
          <w:b/>
        </w:rPr>
        <w:t>E. 7</w:t>
      </w:r>
    </w:p>
    <w:p>
      <w:r>
        <w:t>a) Se pose par ailleurs la question de savoir quel statut il convient d'accorder à l'assurée. L'intimé a considéré qu'elle devait être qualifiée de personne non active, ce que l'intéressée conteste dans son mémoire de recours. Elle allègue qu’en bonne santé, elle aurait travaillé.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w:t>
      </w:r>
    </w:p>
    <w:p>
      <w:r>
        <w:t>A/2356/2008 - 12/15 -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301ss consid. 2b, 1996 p. 209 consid. 1c, et les références citées). Il convient également de s'inspirer de la définition de la personne non active donnée à l'art. 28 al. 2 bis LAI, selon laquelle est considérée comme non active la personne qui n'exerce pas d'activité lucrative et dont on ne peut raisonnablement exiger d'elle qu'elle en exerce une. b) En l'espèce, il est constant que la recourante n'a plus exercé d'activité lucrative depuis de nombreuses années. Auparavant, elle a cependant travaillé durant une longue période - de 1987 à 1992 - pour X_________. On ignore toutefois à quel taux d’occupation. Il ressort par ailleurs clairement de plusieurs rapports médicaux, et en particulier de celui du Dr A_________, établi quelques mois après le début de l’incapacité de travail, que l’assurée a cessé le travail principalement pour des raisons de santé et non par convenance personnelle. Certes, l’assurée a indiqué dans sa demande de prestation être « femme au foyer ». On ne saurait toutefois en tirer de conclusions péremptoires dans la mesure où elle maîtrise mal la langue française et où l’ensemble des circonstances donne plutôt à penser qu’elle entendait sans doute indiquer par là qu’elle n’exerçait plus d’activité lucrative, de facto. Force est cependant de constater qu’elle a été inscrite au chômage, qu’elle a donc été considérée comme apte au placement et ayant la volonté de retrouver un poste, et qu’elle a ensuite obtenu une occupation temporaire en 1998. Là encore, on ignore quel statut lui a reconnu l’assurance-chômage, à quel taux d’occupation l’assurée recherchait un emploi et à quel taux d’occupation elle a exercé son emploi temporaire.</w:t>
      </w:r>
    </w:p>
    <w:p>
      <w:r>
        <w:t>A/2356/2008 - 13/15 - Enfin, le fait que l’assurée soit mère de quatre enfants ne suffit pas non plus à tirer la conclusion qu’elle n’aurait pas exercé d’activité lucrative si son état de santé le lui avait permis. En effet, en 2005, ses enfants étaient âgés de 21, 13 et 6 ans. Seul l’un d’eux était donc encore en bas âge. Le fait que les ressources du couple soient limitées au point de vue financier (selon l’enquête ménagère, qui n’est d’ailleurs pas très précise sur ce point, les ressources du couple suffiraient tout juste à couvrir le loyer et les primes d’assurance-maladie de la famille) plaide au contraire pour la thèse défendue par la recourante, à savoir qu’elle aurait travaillé si son état le lui avait permis. Les informations contenues au dossier apparaissent là encore cependant trop lacunaires pour déterminer à quel taux d’occupation il est vraisemblable que la recourante aurait travaillé.</w:t>
      </w:r>
    </w:p>
    <w:p>
      <w:r>
        <w:rPr>
          <w:b/>
        </w:rPr>
        <w:t>E. 8</w:t>
      </w:r>
    </w:p>
    <w:p>
      <w:r>
        <w:t>Eu égard aux nombreuses zones d’ombre qui demeurent en l’espèce et qui ont été mises en évidence supra, le Tribunal de céans constate qu'il est dans l'impossibilité de se prononcer sur la capacité résiduelle de travail de l’assurée et sur le taux d’occupation qui aurait été le sien sans atteinte à la santé. Il est rappelé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il apparaît que des investigations complémentaires sont nécessaires pour déterminer, notamment, si l’assurée présente une atteinte psychique ayant une répercussion sur sa capacité de travail et dans quelle mesure, quelles sont précisément les limitations induites par ses atteintes rhumatologiques et leur répercussions sur sa capacité de travail, quel était le taux d’occupation de l’assurée durant les années où elle a travaillé pour X_________ et à quel taux recherchait- elle un emploi lorsqu’elle était au chômage. La cause n'étant, de l'avis du Tribunal de céans, pas suffisamment instruite pour permettre de se déterminer en connaissance de cause, il convient de la renvoyer à</w:t>
      </w:r>
    </w:p>
    <w:p>
      <w:r>
        <w:t>A/2356/2008 - 14/15 - l'intimé pour instruction complémentaire puis nouvelle décision, étant rappelé qu'un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partiellement admis et la cause renvoyée à l'intimé afin que ce dernier, après avoir fait procéder à une expertise rhumatologique et psychiatrique par des médecins spécialisés indépendants et avoir investigué sur le passé professionnel de l’assurée, se détermine sur le statut de cette dernière, son état de santé, ses répercussions sur sa capacité de travail, enfin sur son droit éventuel à des prestations de l'assurance- invalidité.</w:t>
      </w:r>
    </w:p>
    <w:p>
      <w:r>
        <w:t>A/2356/2008 - 15/15 -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