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ATAS/647/2023 vom 30. August 2023</w:t>
      </w:r>
    </w:p>
    <w:p>
      <w:r>
        <w:t>GE Cour de justice, 2023-08-30, FR</w:t>
      </w:r>
    </w:p>
    <w:p>
      <w:r>
        <w:rPr>
          <w:b/>
        </w:rPr>
        <w:t xml:space="preserve">Quelle: </w:t>
      </w:r>
      <w:r>
        <w:t>https://mcp.opencaselaw.ch/entscheid/ge_gerichte_ATAS_647_2023</w:t>
      </w:r>
    </w:p>
    <w:p>
      <w:r>
        <w:t>FR: GE_GERICHTE ATAS/647/2023 du 30 août 2023</w:t>
      </w:r>
    </w:p>
    <w:p>
      <w:r>
        <w:t>IT: GE_GERICHTE ATAS/647/2023 del 30 agosto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ss LPGA)</w:t>
      </w:r>
    </w:p>
    <w:p>
      <w:r>
        <w:rPr>
          <w:b/>
        </w:rPr>
        <w:t>E. 3</w:t>
      </w:r>
    </w:p>
    <w:p>
      <w:r>
        <w:t>Le litige porte sur le droit de la recourante à l’indemnité de chômage à partir du 13 décembre 2021.</w:t>
      </w:r>
    </w:p>
    <w:p>
      <w:r>
        <w:t>A/2854/2022 - 4/11 -</w:t>
      </w:r>
    </w:p>
    <w:p>
      <w:r>
        <w:rPr>
          <w:b/>
        </w:rPr>
        <w:t>E. 4.1</w:t>
      </w:r>
    </w:p>
    <w:p>
      <w:r>
        <w:t>Pour avoir droit à l'indemnité de chômage, l'assuré doit, entre autres conditions, remplir celles relatives à la période de cotisation (art. 8 al. 1 let. e LACI). Aux termes de l'art. 9 LACI, des délais-cadres de deux ans s'appliquent aux périodes d'indemnisation et de cotisation, sauf disposition contraire de la LACI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a exercé durant douze mois au moins une activité soumise à cotisation remplit les conditions relatives à la période de cotisation. Seule une activité lucrative dépendante constitue une activité soumise à cotisation au sens de la LAVS (ATF 145 V 84 consid. 6.2 ; Thomas NUSSBAUMBER, Arbeitslosenversicherung, in : Sociale Sicherheit Ulrich MEYER éditeur, 3ème éd., 2016, n. 207 p. 2325 s. ; Boris RUBIN, Commentaire de la loi sur l'assurance- chômage, 2014, n. 8 et 9 ad art. 13 LACI), comme cela ressort déjà de l’art. 2 al. 1 LACI. Le versement d'un salaire effectif n'est pas forcément exigé, mais permet au besoin de rapporter la preuve de l’activité soumise à cotisation. Il ne fonde cependant pas, à lui seul, la présomption de fait qu'une activité salariée soumise à cotisation a été exercée (ATF 133 V 515 consid. 2.3).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2.4).</w:t>
      </w:r>
    </w:p>
    <w:p>
      <w:r>
        <w:rPr>
          <w:b/>
        </w:rPr>
        <w:t>E. 4.2</w:t>
      </w:r>
    </w:p>
    <w:p>
      <w:r>
        <w:t>La distinction entre activité dépendante et indépendante revêt de l’importance, notamment parce que l’assuré indépendant n’est pas affilié et ne verse pas de cotisations d’assurance-chômage, tandis que s’il est salarié la prise en charge des cotisations est paritaire (Boris RUBIN, op. cit. n. 1 et 5 ad art. 2 ; Jean-Philippe DUNAND, in Commentaire romand de la loi sur la partie générale des assurances sociales [LPGA], n. 35 ad art. 10). Selon l’art. 12 al. 1 LPGA, est considéré comme exerçant une activité lucrative indépendante celui dont le revenu ne provient pas de l’exercice d’une activité en tant que salarié. La notion est donc définie négativement par l’art. 10 LPGA, qui prévoit qu’est réputé salarié celui qui fournit un travail dépendant et qui reçoit pour ce travail un salaire déterminant au sens des lois spéciales (Ueli KIESER, ATSG Kommentar, 4ème éd. 2020, n. 4 ad. 12 LPGA). La définition concrète de la notion d’activité lucrative dépendante est laissée à la jurisprudence (Ueli KIESER, op. cit. n. 25 ad. 10 LPGA).</w:t>
      </w:r>
    </w:p>
    <w:p>
      <w:r>
        <w:t>A/2854/2022 - 5/11 - Selon la jurisprudence, le point de savoir si l’on a affaire, dans un cas donné, à une activité indépendante ou salariée ne doit pas être tranché d’après la nature juridique civile du rapport contractuel entre les partenaires ; ce qui est déterminant, ce sont les circonstances économiques du cas d’espèce (ATF 140 V 241 consid. 4.2 et les références). Est réputé salarié, soit exerçant une activité lucrative dépendante, celui qui dépend d’autrui quant à l’organisation de son travail, ainsi que du point de vue de la gestion économique d’une entreprise, soit notamment celui qui ne supporte pas le risque économique encouru normalement par un entrepreneur (ATF 146 V 139 consid. 3.1 ; 144 V 111 consid. 4.2 ; 123 V 161 consid. 1 ; 122 V 281 consid. 2a et 2b ; arrêts du Tribunal fédéral 9C_46/2020 du 1er octobre 2020 consid. 5.1 ; 9C_278/2021 du 8 septembre 2021 consid. 2.2 ; Boris RUBIN, op. cit. n. 7 ad art. 2). S’agissant en particulier du critère de la dépendance organisationnelle, il faut examiner d’une part l’intensité avec laquelle l’activité d’une personne fait formellement partie de la structure du bénéficiaire de son travail, et, d’autre part, dans quelle mesure ledit travail est encadré matériellement par ledit bénéficiaire (ATF 146 V 139 consid. 6.2.1) ; le seul fait de devoir accomplir un travail avec diligence et à devoir rendre compte au bénéficiaire ne suffit pas à caractériser une situation de dépendance (ATF 146 V 139 consid. 6.2.2). La qualification dépendante ou indépendante d’un revenu d’activité lucrative ne dépend donc pas d’un libre choix de la personne concernée, mais bien des caractéristiques propres à l’activité en cause.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123 V 161 consid. 1 et les références).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 arrêt du Tribunal fédéral H 334/03 du 10 janvier 2005 consid. 6.2.1). En outre, la possibilité pour le travailleur d’organiser son horaire de travail ne signifie pas nécessairement qu’il s'agit d’une activité indépendante (ATF 122 V 169 consid. 3a ; arrêt du Tribunal fédéral 9C_460/2015 du 18 novembre 2015 consid. 3.2 et les références). Lorsqu’une personne assurée devient indépendante et continue néanmoins d’être active dans une large mesure pour celui qui jusque-là était son employeur, des exigences élevées doivent être posées s’agissant de la reconnaissance de son statut d’indépendant en relation avec les travaux effectués pour cette personne : les indications en faveur d’une activité indépendante doivent alors être clairement</w:t>
      </w:r>
    </w:p>
    <w:p>
      <w:r>
        <w:t>A/2854/2022 - 6/11 - prépondérantes (arrêts du Tribunal fédéral U 427/06 du 28 août 2007 consid. 4.2 et les références ; H 83/04 du 23 juin 2005 consid. 3.2 et les références), d’autant plus si l’activité exercée est similaire à l’activité fournie précédemment en qualité de salarié et qu’elle correspond à des travaux typiquement fournis par des salariés (arrêts du Tribunal fédéral 8C_367/2011 du 12 avril 2012 consid. 2.2 ; 9C_1062/2010 du 5 juillet 2011 consid. 7.4 ; 9C_614/2008 du 1er juillet 2009 consid. 4.1 ; Jean-Philippe DUNAND, in Commentaire romand de la LPGA, n. 28 ad art. 12).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(arrêts du Tribunal fédéral 9C_624/2011 du 25 septembre 2012 consid. 2.2 ; 9C_1062/2010 du 5 juillet 2011 consid. 7.3 et les références ; voir aussi ATF 119 V 161 consid. 3b ; Boris RUBIN, op. cit. n. 9 ad art. 2). Cependant,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9C_460/2015 du 18 novembre 2015 consid. 3.4 et les références). Le cas des apporteurs d’affaires se trouvent à la limite de l’activité salariée ou indépendante. La pratique tend à reconnaître aux personnes exerçant une telle activité le statut de dépendantes, à moins qu’il soit démontré qu’elles supportent un véritable risque économique d’entrepreneurs, autrement dit que les traits d’une indépendance soient saillants, se traduisant par l’utilisation de locaux commerciaux propres, l’occupation d’employés et le port de l’essentiel de la charge financière.</w:t>
      </w:r>
    </w:p>
    <w:p>
      <w:r>
        <w:rPr>
          <w:b/>
        </w:rPr>
        <w:t>E. 4.3</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w:t>
      </w:r>
    </w:p>
    <w:p>
      <w:r>
        <w:t>A/2854/2022 - 7/11 - CO). Déterminer ce que les parties savent ou veulent au moment de conclure relève de la constatation des faits (ATF 140 III 86 consid. 4.1). Au stade des déductions à opérer sur la base d’indices, lesquelles relèvent elles aussi de la constatation des faits (ATF 136 III 486 consid. 5; 128 III 390 consid. 4.3.3 in fine), le comportement que les cocontractants ont adopté dans l’exécution de leur accord peut éventuellement dénoter de quelle manière ils l’ont eux-mêmes compris, et révéler par là leur réelle et commune intention (arrêt du Tribunal fédéral 8C_318/2014 du 21 mai 2015 consid. 5.2 et les arrêts cités).</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126 V 322 consid. 5a).</w:t>
      </w:r>
    </w:p>
    <w:p>
      <w:r>
        <w:rPr>
          <w:b/>
        </w:rPr>
        <w:t>E. 5</w:t>
      </w:r>
    </w:p>
    <w:p>
      <w:r>
        <w:t>En l’espèce, l’intimée a retenu, principalement, dans sa décision que les prestations de travail de la recourante avaient eu lieu avant décembre 2019, soit avant l’ouverture du délai-cadre, qui courait du 13 décembre 2019 au 12 décembre 2021, de sorte que le droit aux indemnités ne pouvait être ouvert au sens de l’art. 13 al. 1 LACI. La recourante fait valoir que ses prestations de travail ont perduré pendant le délai-cadre de cotisation. Le ch. 2 du contrat de coopération relatif à l’objet du contrat indique que la recourante se proposait de référencer à la banque des personnes susceptibles d’entrer en relation avec elle. Selon le ch. 3, la banque décidait unilatéralement d’établir une relation bancaire avec le pollicitant ou de décliner son offre. Il est prévu au ch. 4, qu’en rémunération des services rendus par la recourante, la banque s’engageait à lui verser un montant qui serait fixé d’entente entre les parties. Selon l’annexe relative à la rémunération, celle-ci dépendait des avoirs sous gestion liés à des personnes référencées par la recourante. Il résulte de la lettre des documents précités que si la rémunération de la recourante était conditionnée au fait que les personnes référencées par elle aient déposé des avoirs à la banque, l’activité rémunérée était le référencement à la banque de personnes susceptibles d’entrer en relation avec elle et que cette activité perdurait pendant la durée du contrat.</w:t>
      </w:r>
    </w:p>
    <w:p>
      <w:r>
        <w:t>A/2854/2022 - 8/11 - Cela est confirmé par le fait que la recourante a référencé à la banque une nouvelle cliente, qui a ouvert un compte en 2021. Par ailleurs, le contrat de coopération prévoit des obligations durables de la recourante après le transfert des avoirs par ses clients, puisqu’à teneur de son art. 3 § 4, celle-ci s’engageait à communiquer « pendant toute la durée de la relation d’affaires », toute information parvenant à sa connaissance susceptible d’être pertinente sur les clients qu’elle avait introduits auprès de la banque. De même, l’art. 5 § 1 prévoit que la recourante garantissait « qu’au cours de toute la durée du contrat, elle exerçait son activité de manière indépendante » tant du point du droit privé que du droit public (assurances sociales). En conclusion, l’intimée ne pouvait retenir que les prestations de travail avaient cessé avant décembre 2019. Quand bien même les prestations en cause étaient atypiques, voire peu claire, elles s’expliquent par la situation particulière et les enjeux financiers en cause, l’intervention de la recourante étant de nature à favoriser le maintien de la relation d’affaires entre la banque et la cliente référencée. Les pièces au dossier ainsi que la déclaration de la recourante établissent au degré de la vraisemblance prépondérante que celle-ci était rémunérée pour des prestations durables, étant relevé qu’en droit suisse, la rémunération du travailleur obéit au principe de la liberté contractuelle. Les déclarations du témoin, – selon lesquelles la recourante n’avait plus d’activité pour la banque après le transfert à cette dernière des avoirs de la personne référencée – ne remettent pas sérieusement en cause cette conclusion, dans la mesure où elle a notamment déclaré que la recourante avait accompagné quelques fois sa cliente à des réunions avec elle et qu’elle l’appelait de temps en temps au sujet de sa cliente. Par ailleurs, son appréciation de l’activité de la recourante s’oppose à la teneur du contrat de coopération.</w:t>
      </w:r>
    </w:p>
    <w:p>
      <w:r>
        <w:rPr>
          <w:b/>
        </w:rPr>
        <w:t>E. 6</w:t>
      </w:r>
    </w:p>
    <w:p>
      <w:r>
        <w:t>L’intimée a encore fait valoir lors de l’audience devant la chambre de céans que le contrat de coopération était un contrat commercial et non un contrat de travail, question qui avait été laissée ouverte dans ses écritures. Plaident pour une activité salariée : - le fait que la recourante a été salariée de la banque de 2012 à 2015 avant le contrat de coopération, pour une activité qui apparaît de même nature que celle qu’elle a continué de faire sous ce contrat ; - l’absence de statut d’indépendante de la recourante ; - et surtout le fait que, dès 2016, elle a été rémunérée de manière régulière avec des montants fixes, qualifiés de salaire par la banque, qui en déduisait les charges sociales et établissait des fiches de salaire ainsi que des certificats de salaire.</w:t>
      </w:r>
    </w:p>
    <w:p>
      <w:r>
        <w:t>A/2854/2022 - 9/11 - Le fait que la banque et la recourante aient convenu que cette dernière avait une activité d’indépendante dans le contrat de coopération n’est pas déterminant, ce d’autant moins que cette dernière n’a jamais eu le statut d’indépendante. Vu la spécificité des rapports entre la recourante et la banque, le critère de la subordination doit être relativisé, de même le fait qu’elle ne disposait pas d’un bureau au sein de la banque ni d’horaires fixes. Il en résulte qu’il doit être retenu que la recourante a été salariée de la banque pendant le délai-cadre qui courait du 13 décembre 2019 au 12 décembre 2021 et qu’elle a ainsi exercé durant douze mois au moins une activité soumise à cotisation, ce qui lui ouvre le droit aux indemnités de chômage, selon de l’art. 13 LACI.</w:t>
      </w:r>
    </w:p>
    <w:p>
      <w:r>
        <w:rPr>
          <w:b/>
        </w:rPr>
        <w:t>E. 7.1</w:t>
      </w:r>
    </w:p>
    <w:p>
      <w:r>
        <w:t>L’intimée a fait valoir que la recourante ne lui avait fait parvenir les formulaires IPA (Indications de la personne assurée) que pour les mois de décembre 2021 ainsi que janvier et août 2022, de sorte que son droit aux indemnités n’était pas ouvert pour les mois de février à juin 2022, le délai légal de trois mois pour le faire valoir étant échu. La recourante a rétorqué qu’elle n’avait reçu que trois formulaires et qu’elle les avait immédiatement retournés complétés et signés.</w:t>
      </w:r>
    </w:p>
    <w:p>
      <w:r>
        <w:rPr>
          <w:b/>
        </w:rPr>
        <w:t>E. 7.2.1</w:t>
      </w:r>
    </w:p>
    <w:p>
      <w:r>
        <w:t>Selon l'art. 20 al. 3 LACI, le droit à l'indemnité de chômage s'éteint s'il n'est pas exercé dans les trois mois suivant la fin de la période de contrôle à laquelle il se rapporte. Chaque mois civil constitue une période de contrôle (art. 27a OACI). L'inobservation du délai entraîne l'extinction du droit à l’indemnité pour une période de contrôle d'un mois (DTA 1998 no 48 p. 281). Il ne peut être ni prolongé ni interrompu, mais il peut faire l'objet d'une restitution, s'il existe une excuse valable pour justifier le retard (ATF 117 V 244 consid. 3 ; arrêt du Tribunal fédéral 8C_433/2014 du 16 juillet 2015 consid. 2.1).</w:t>
      </w:r>
    </w:p>
    <w:p>
      <w:r>
        <w:rPr>
          <w:b/>
        </w:rPr>
        <w:t>E. 7.2.2</w:t>
      </w:r>
    </w:p>
    <w:p>
      <w:r>
        <w:t>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 ATF 112 V 256 consid. 2a). Par empêchement non fautif, il faut entendre aussi bien l'impossibilité objective ou la force majeure, que l'impossibilité due à des circonstances personnelles ou une erreur excusable.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w:t>
      </w:r>
    </w:p>
    <w:p>
      <w:r>
        <w:t>A/2854/2022 - 10/11 - au sens des dispositions précitées (ATF 108 V 109 consid. 2c). En revanche, l’ignorance du droit n’est en principe pas une excuse valable pour se voir accorder une restitution de délai (RCC 1968 586 ; arrêt du Tribunal fédéral des assurances C 63/01 du 15 juin 2001 consid. 2).</w:t>
      </w:r>
    </w:p>
    <w:p>
      <w:r>
        <w:rPr>
          <w:b/>
        </w:rPr>
        <w:t>E. 8</w:t>
      </w:r>
    </w:p>
    <w:p>
      <w:r>
        <w:t>En l’espèce, la recourante ne pourra être indemnisée que pour les mois pour lesquels elle a transmis le formulaire IPA à l’intimée, soit les mois de décembre 2021, janvier et août 2022, car le délai légal pour demander l’indemnisation pour les mois de février à juin 2022 est échu. La recourante ne peut se prévaloir du fait que l’intimée ne lui aurait pas transmis d’office tous les formulaires IPA, car elle a pu prendre connaissance de ceux de décembre 2021 et janvier 2022, qui l’informaient de l’expiration du droit aux prestations s’il n’était pas exercé au cours des trois mois suivant la période de contrôle à laquelle il se rapportait. Elle avait en outre été informée le 18 janvier 2022 qu’elle pouvait demander un duplicata du formulaire IPA si elle ne l’avait pas reçu. Enfin, les conditions auxquelles la loi subordonne l’octroi d’une restitution de délai au sens de l’art. 41 al. 1 LPGA ne sont pas réunies, à défaut d’un empêchement non fautif de la recourante, qui résulterait d’une impossibilité objective ou d’un cas de force majeure.</w:t>
      </w:r>
    </w:p>
    <w:p>
      <w:r>
        <w:rPr>
          <w:b/>
        </w:rPr>
        <w:t>E. 9</w:t>
      </w:r>
    </w:p>
    <w:p>
      <w:r>
        <w:t>Au vu de ce qui précède, le recours sera partiellement admis, la décision du</w:t>
      </w:r>
    </w:p>
    <w:p>
      <w:r>
        <w:rPr>
          <w:b/>
        </w:rPr>
        <w:t>E. 12</w:t>
      </w:r>
    </w:p>
    <w:p>
      <w:r>
        <w:t>août 2022 annulée et la cause sera renvoyée à l’intimée pour indemnisation de la recourante pour les mois de décembre 2021 et janvier et août 2022, sous réserve que toutes les conditions de ce droit soient remplies. 10. La recourante obtenant partiellement gain de cause, une indemnité de CHF 1'000.- lui sera octroyée à titre de dépens (art. 61 let. g LPGA). 11. Pour le surplus, la procédure est gratuite (art. 61 fbis LPGA a contrario).</w:t>
      </w:r>
    </w:p>
    <w:p>
      <w:r>
        <w:t>A/2854/2022 - 11/11 -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