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ATAS/647/2022 vom 11. Juli 2022</w:t>
      </w:r>
    </w:p>
    <w:p>
      <w:r>
        <w:t>GE Cour de justice, 2022-07-11, FR</w:t>
      </w:r>
    </w:p>
    <w:p>
      <w:r>
        <w:rPr>
          <w:b/>
        </w:rPr>
        <w:t xml:space="preserve">Quelle: </w:t>
      </w:r>
      <w:r>
        <w:t>https://mcp.opencaselaw.ch/entscheid/ge_gerichte_ATAS_647_2022</w:t>
      </w:r>
    </w:p>
    <w:p>
      <w:r>
        <w:t>FR: GE_GERICHTE ATAS/647/2022 du 11 juillet 2022</w:t>
      </w:r>
    </w:p>
    <w:p>
      <w:r>
        <w:t>IT: GE_GERICHTE ATAS/647/2022 del 11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novelle du 21 juin 2019 de la LPGA est entrée en vigueur le 1er janvier 2021. Dans la mesure où le présent recours n’était pas pendant à cette date, il est soumis au nouveau droit (art. 82a LPGA). Quant aux modifications de la LAI du 19 juin 2020, entrées en vigueur le 1er janvier 2022, elles ne sont pas applicables. En effet, en cas de changement de règles de droit, la législation applicable est en principe celle en vigueur au moment où les faits juridiquement déterminants se sont produits (ATF 144 V 210 consid. 4.3.1).</w:t>
      </w:r>
    </w:p>
    <w:p>
      <w:r>
        <w:rPr>
          <w:b/>
        </w:rPr>
        <w:t>E. 3</w:t>
      </w:r>
    </w:p>
    <w:p>
      <w:r>
        <w:t>Déposé dans les forme et délai prévus par la loi (art. 56ss LPGA), le recours est recevable.</w:t>
      </w:r>
    </w:p>
    <w:p>
      <w:r>
        <w:rPr>
          <w:b/>
        </w:rPr>
        <w:t>E. 4</w:t>
      </w:r>
    </w:p>
    <w:p>
      <w:r>
        <w:t>Le litige porte sur le droit du recourant à des prestations d’invalidité.</w:t>
      </w:r>
    </w:p>
    <w:p>
      <w:r>
        <w:rPr>
          <w:b/>
        </w:rPr>
        <w:t>E. 5.1</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w:t>
      </w:r>
    </w:p>
    <w:p>
      <w:r>
        <w:rPr>
          <w:b/>
        </w:rPr>
        <w:t>E. 5.2</w:t>
      </w:r>
    </w:p>
    <w:p>
      <w:r>
        <w:t>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w:t>
      </w:r>
    </w:p>
    <w:p>
      <w:r>
        <w:t>A/2743/2021 - 10/18 -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139 V 399 consid. 5.3).</w:t>
      </w:r>
    </w:p>
    <w:p>
      <w:r>
        <w:rPr>
          <w:b/>
        </w:rPr>
        <w:t>E. 5.3</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w:t>
      </w:r>
    </w:p>
    <w:p>
      <w:r>
        <w:t>A/2743/2021 - 11/18 -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6.2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w:t>
      </w:r>
    </w:p>
    <w:p>
      <w:r>
        <w:rPr>
          <w:b/>
        </w:rPr>
        <w:t>E. 6.3</w:t>
      </w:r>
    </w:p>
    <w:p>
      <w:r>
        <w:t>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w:t>
      </w:r>
    </w:p>
    <w:p>
      <w:r>
        <w:rPr>
          <w:b/>
        </w:rPr>
        <w:t>E. 6.4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t>A/2743/2021 - 12/18 -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8</w:t>
      </w:r>
    </w:p>
    <w:p>
      <w:r>
        <w:t>En l’espèce, les médecins traitants du recourant – soit la Dresse D______ et la Dresse B______ – ont toutes deux conclu à une capacité de travail complète dans une activité adaptée dès 2018 au plan somatique. Les autres médecins que le recourant a consultés ne se sont pas prononcés sur une éventuelle incapacité de travail, à l’exception du Dr H______ qui l’a exclue au plan urologique. La Dresse G______ ne s’est pas exprimée sur cet aspect. Il convient en outre de souligner que l’aggravation de la symptomatologie qu’elle a évoquée n’a pas été corrélée par les examens qu’elle préconisait, l’ENMG du</w:t>
      </w:r>
    </w:p>
    <w:p>
      <w:r>
        <w:rPr>
          <w:b/>
        </w:rPr>
        <w:t>E. 12</w:t>
      </w:r>
    </w:p>
    <w:p>
      <w:r>
        <w:t>mai 2020 n’ayant pas mis en évidence d’atteinte particulière. S’agissant des autres troubles, il ressort du rapport de la Dresse D______ du 28 janvier 2021 que le diabète est contrôlé et n’entraîne pas de limitation. Quant à la pathologie hépatique, elle ne semble pas non plus entraîner des limitations particulières, et la généraliste du recourant n’en a pas inféré de restriction quant à l’exigibilité d’une activité adaptée. Les troubles du genou n’ont pas non plus été rapportés comme incapacitants par la Dresse D______. Le recourant n’a d’ailleurs pas allégué devoir se soumettre à un suivi ou un traitement par un orthopédiste, ce qui laisse à penser que ces troubles ont un impact limité. Enfin, les pneumologues consultés – lesquels ne se sont pas déterminés expressément sur la capacité de travail du recourant – ont qualifié le syndrome d’apnées du sommeil de modéré, le Dr L______ admettant en outre une amélioration de la somnolence grâce à la médication et à l’appareillage. Dans ces conditions, on peut se rallier à l’avis du SMR, selon lequel cette atteinte n’entraîne pas d’incapacité de travail. Sur le plan psychique, les psychiatres que le recourant a vus ont tous deux admis une pleine capacité de travail. Le Dr F______ a certes déclaré appuyer la demande</w:t>
      </w:r>
    </w:p>
    <w:p>
      <w:r>
        <w:t>A/2743/2021 - 13/18 - de prestations du recourant. Ce faisant, il s’est cependant référé aux atteintes somatiques, et non aux troubles psychiques. Le Dr I______ a lui aussi exclu une répercussion sur la capacité de travail des atteintes d’ordre psychiatrique. S’agissant des pauses que recommandait la Dresse B______ dans ses rapports de février et août 2019, il faut souligner qu’elle semblait considérer cette baisse de rendement comme temporaire. Elle n’a, du reste, pas repris cette restriction dans son rapport du 31 mars 2020. On admettra ainsi que le recourant avait besoin d’une heure de pause par jour de février 2019 à mars 2020, conformément aux précisions données par la Dresse B______ sur leur durée. Cela correspond à une diminution de rendement de quelque 12.5 % sur une journée de huit heures. Dès mars 2020, il n’y a plus lieu de tenir compte d’un besoin de pauses supplémentaires dans une activité adaptée. En ce qui concerne l’inaptitude au placement du recourant décidée par l’OCE, elle ne suffit pas à considérer qu’il est incapable de travailler. On rappellera en effet que 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 L’assurance-chômage subordonne l’allocation d’indemnités de chômage à l’aptitude au placement, condition que les autres assurances sociales ne connaissent pas, car elles soumettent le versement des indemnités journalières à une incapacité de travail (Ghislaine FRÉSARD-FELLAY / Jean-Maurice FRÉSARD in Commentaire romand, Loi sur la partie générale des assurances sociales, 2018, n. 22 ad art. 70 LPGA). Dès lors que la décision de l’OCE est fondée notamment sur les déclarations du recourant quant à sa capacité subjective à reprendre une activité, elle ne saurait l’emporter sur les conclusions contraires des médecins traitants. Au vu de ce qui précède, on ne saurait s’écarter de l’avis unanime des médecins, selon lequel le recourant présente une pleine capacité de travail dans une activité adaptée, sous réserve de l’incapacité de travail transitoire de trois mois admise par le SMR début 2020. 9. Il convient d’examiner le degré d’invalidité du recourant. 9.1 S’agissant du revenu sans invalidité, l’intimé s’est fondé sur le salaire communiqué par l’employeur, soit CHF 45'577.- en 2018, ce qui est conforme au droit. 9.2 En ce qui concerne le revenu après invalidité, la chambre de céans retient ce qui suit. 9.2.1 Le recourant invoque une violation de son droit d’être entendu, au motif que le revenu sans invalidité retenu dans la décision n’était pas explicité. Le droit d’être entendu, garanti à l'art. 29 de la Constitution fédérale de la Confédération</w:t>
      </w:r>
    </w:p>
    <w:p>
      <w:r>
        <w:t>A/2743/2021 - 14/18 - suisse du 18 avril 1999 (Cst. - RS 101), comprend celui d'obtenir une décision motivée. Conformément à ce principe, l'autorité doit indiquer dans son prononcé les motifs qui la conduisent à sa décision (ATF 123 I 31 consid 2c ; arrêt du Tribunal fédéral 8C_954/2008 du 29 mai 2009 consid. 3.1). Le destinataire de la décision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Dans le cas d’espèce, si l’on peut regretter que la décision de l’intimé se contente de reprendre les revenus déterminés lors du calcul d’invalidité, sans autres explications, cela ne suffit pas à conclure à une violation du droit d’être entendu liée à un défaut de motivation. En effet, ces informations figurent dans la note du 10 octobre 2019 versée au dossier de l’intimé, dont le recourant – par l’intermédiaire de son avocate – a pu prendre connaissance. Il pouvait ainsi comprendre sur quels éléments l’intimé fondait la fixation du montant des revenus avant et après invalidité. 9.2.2 Le recourant affirme qu’il n’existe aucune activité réaliste au vu de ses limitations fonctionnelles. Or, ces limitations consistent, en réalité, essentiellement en des mesures d’épargne du rachis, dont le Tribunal fédéral a admis qu’elles sont compatibles avec l’exercice d’une activité lucrative (arrêt du Tribunal fédéral 9C_603/2015 du 25 avril 2016 consid. 6.2). En outre, un marché du travail équilibré offre un éventail suffisamment large d'activités légères, dont un nombre significatif sont adaptées à de telles limitations (arrêt du Tribunal fédéral 9C_534/2010 du 10 février 2011 consid. 4.3). La restriction du périmètre de marche ne correspond, par ailleurs, pas à une limitation définie médicalement, mais décrite par le recourant et rapportée par la Dresse B______, laquelle a d’ailleurs indiqué ne pas pouvoir expliquer toutes les limitations alléguées. De plus, à défaut de précision contraire des médecins, une telle limitation s’entend en toute hypothèse en lien avec l’activité concrètement exercée, et non par rapport aux trajets éventuels pour se rendre au travail. Quant aux pauses que le recourant devait pouvoir aménager de février 2019 à mars 2020, elles représentaient une heure par jour, comme on l’a vu ci-dessus, si bien qu’elles n’étaient pas non plus un obstacle insurmontable à la reprise d’un emploi. Le manque de formation n'est pas non plus, déterminant dès lors qu'il s'agit d'un facteur étranger à l'invalidité (arrêt du Tribunal fédéral 9C_474/2010 du 11 avril 2011 consid. 3.2).</w:t>
      </w:r>
    </w:p>
    <w:p>
      <w:r>
        <w:t>A/2743/2021 - 15/18 - De plus, le revenu d’invalide retenu par l’intimé, correspondant au niveau 1 de la ligne Total du TA1_tirage_skill_level de nombreuses activités variées et non qualifiées, n’implique pas de formation particulière si ce n'est une mise au courant initiale (arrêt du Tribunal fédéral 9C_633/2016 du 28 décembre 2016 consid. 4.3). Enfin, les connaissances linguistiques limitées sont également un facteur étranger à l'invalidité (arrêt du Tribunal fédéral 9C_344/2015 du 25 novembre 2015 consid. 2.3). Les activités simples et répétitives correspondant au niveau 1 de l'ESS ne supposent d’ailleurs par définition pas de bonnes connaissances linguistiques (arrêt du Tribunal fédéral 9C_426/2014 du 18 août 2014 consid. 4.2). 9.2.3 Au vu de ce qui précède, il y a lieu de confirmer tant l’exigibilité d’une activité que la détermination du revenu hypothétique que le recourant pourrait en tirer sur la base du tableau TA1_tirage_skill_level 2016. Ce revenu a été correctement indexé et adapté à la durée normale de travail en 2018, et le montant de CHF 67'430.-, retenu à ce titre, doit ainsi être confirmé. L’abattement de 15 % auquel l’intimé a procédé ne prête pas non plus le flanc à la critique. Son application réduit le revenu après invalidité à CHF 57'315.50. La comparaison au revenu que le recourant aurait pu obtenir dans son ancien emploi, soit CHF 45'577.- en 2018, ne révèle ainsi aucune perte de gain, mais un revenu supérieur de 25.76 % à celui obtenu avant l’atteinte à la santé. S’agissant de la période durant laquelle une diminution de rendement doit être admise conformément aux conclusions de la Dresse B______, le revenu sans invalidité s’élève à CHF 59'001.25 eu égard à un taux de travail de 87.5 %, et à CHF 50'151.06 après abattement de 15 %. Il n’y a pas non plus de perte de gain durant cette période, le revenu après invalidité étant supérieur de quelque 10 % au salaire sans invalidité. Enfin, la capacité de gain était nulle selon le SMR durant trois mois entre janvier et mars 2020, ce qui correspond à un degré d’invalidité total durant cette période. Cette aggravation n’ayant toutefois pas duré plus de trois mois, elle ne suffit pas à modifier le droit aux prestations, conformément à l’art. 88a RAI. 9.2.4 Il convient encore d’examiner le grief du recourant sur la discrimination alléguée en lien avec sa situation sociale, dès lors que les personnes percevant de faibles revenus se verraient moins souvent reconnaître une incapacité de gain conduisant à l’octroi d’une rente. D'après l'art. 8 al. 1 Cst., tous les êtres humains sont égaux devant la loi.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peut se demander si le niveau salarial tombe sous le coup de la protection conférée par l’art. 8 al. 2 Cst. en lien avec le critère de la situation sociale. On</w:t>
      </w:r>
    </w:p>
    <w:p>
      <w:r>
        <w:t>A/2743/2021 - 16/18 - rappellera en effet que le Tribunal fédéral, tout en relevant que la capacité économique pouvait être un élément de la situation sociale, a laissé ouverte la question de savoir si le fait de dépendre de l’aide sociale relevait de ce critère au sens de l’art. 8 al. 2 Cst. (ATF 136 I 309 consid. 4.2 et ATF 135 I 49 consid. 4.1). Par analogie, la même question peut se poser s’agissant du niveau salarial. Elle souffre cependant de rester ouverte ici, pour les motifs suivants.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Au principe d'égalité de traitement, l'art. 8 al. 2 Cst. ajoute une interdiction des discriminations.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138 I 205 consid. 5.4). Or, la capacité économique, et plus particulièrement la quotité du revenu, est un élément objectif qui peut justifier un traitement différent. On notera par exemple qu’en matière d’imposition, l’équité fiscale verticale, selon laquelle un contribuable au revenu bas ne saurait devoir payer autant d'impôts qu'un contribuable qui a un revenu élevé, n’est pas incompatible avec le principe d’égalité de traitement (ATF 141 II 338 consid. 3.2). En outre, en matière d’invalidité, la prise en compte du revenu sans invalidité découle de la notion même de l’invalidité, laquelle est définie à l’art. 8 al. 1 LPGA comme l’incapacité de gain totale ou partielle qui est présumée permanente ou de longue durée. En effet, l’invalidité est une notion économique et non médicale, qui s’évalue en fonction des conséquences économiques objectives de l’incapacité fonctionnelle (arrêt du Tribunal fédéral 9C_753/2012 du 21 décembre 2012). Ainsi, par définition, un assuré qui réalisait un revenu important avant la survenance de l’atteinte à la santé et qui ne peut plus exercer que des activités simples et répétitives correspondant à un revenu inférieur subira une perte de gain – et partant un degré d’invalidité – plus importante qu’un assuré qui peut prétendre au même revenu après invalidité, mais qui était faiblement rémunéré avant de devenir invalide. Cela ne relève aucunement d’une inégalité de traitement, mais</w:t>
      </w:r>
    </w:p>
    <w:p>
      <w:r>
        <w:t>A/2743/2021 - 17/18 - répond à un des buts poursuivis par le législateur, soit la compensation d’une perte de revenu causée par une atteinte à la santé. Enfin, en toute hypothèse, même s’il fallait admettre que cette définition de l’invalidité consacre une inégalité de traitement, voire une discrimination, la chambre de céans ne serait pas fondée à s’en écarter dès lors qu’elle est ancrée dans une loi fédérale qu’elle est tenue d’appliquer, conformément à l’art. 190 Cst. 9.3 Compte tenu de ce qui précède, le recourant ne subit pas de perte de gain. En l’absence d’invalidité, il ne peut prétendre ni à une rente, ni à des mesures de réadaptation. Au vu des circonstances et notamment des avis clairs des médecins traitants, il est superfétatoire de procéder à son audition, par appréciation anticipée des preuves (arrêt du Tribunal fédéral 9C_97/2020 du 10 juin 2020 consid. 3.2). La décision de l’intimé doit ainsi être confirmée. 10. Le recours est rejeté. Le recourant, qui succombe, n’a pas droit à des dépens. La procédure en matière de contestations portant sur des prestations de l’assurance-invalidité n’étant pas gratuite (art. 69 al. 1bis LAI), le recourant supporte l’émolument de CHF 200.-.</w:t>
      </w:r>
    </w:p>
    <w:p>
      <w:r>
        <w:t>A/2743/2021 - 18/18 -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