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ATAS/647/2021 vom 22. Juni 2021</w:t>
      </w:r>
    </w:p>
    <w:p>
      <w:r>
        <w:t>GE Cour de justice, 2021-06-22, FR</w:t>
      </w:r>
    </w:p>
    <w:p>
      <w:r>
        <w:rPr>
          <w:b/>
        </w:rPr>
        <w:t xml:space="preserve">Quelle: </w:t>
      </w:r>
      <w:r>
        <w:t>https://mcp.opencaselaw.ch/entscheid/ge_gerichte_ATAS_647_2021</w:t>
      </w:r>
    </w:p>
    <w:p>
      <w:r>
        <w:t>FR: GE_GERICHTE ATAS/647/2021 du 22 juin 2021</w:t>
      </w:r>
    </w:p>
    <w:p>
      <w:r>
        <w:t>IT: GE_GERICHTE ATAS/647/2021 del 22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compte tenu de la suspension des délais pour la période du 15 juillet au 15 août inclusivement (art. 38 al. 4 let. b LPGA), le recours est recevable (art. 60 LPGA).</w:t>
      </w:r>
    </w:p>
    <w:p>
      <w:r>
        <w:rPr>
          <w:b/>
        </w:rPr>
        <w:t>E. 3</w:t>
      </w:r>
    </w:p>
    <w:p>
      <w:r>
        <w:t>Le litige porte sur le droit de la recourante à l’octroi d’indemnités en cas de RHT à compter du 16 mars 2020.</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w:t>
      </w:r>
    </w:p>
    <w:p>
      <w:r>
        <w:t>A/2920/2020 - 4/8 -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c. Selon la jurisprudence concernant l’art. 36 LACI et l’art. 58 par. 4 OACI, en cas de notification tardive et sans excuse valable du préavis, la réduction des heures de travail n’est prise en compte qu’à l’expiration du délai de la notification tardive, le Tribunal fédéral ayant jugé cette réglementation nécessaire, objectivement justifiée et licite au regard de l’objectif poursuivi par la notification préalable du préavis, soit notamment de permettre l’examen des conditions d’admission du chômage partiel et de vérifier si l’employeur remplit les conditions de l’art. 37 LACI (cf. ATF 110 V 334 consid. 3 ainsi que les ATF 109 V 141 consid. 2b et 5a ; ATF 108 V 116 consid. 3a). Le délai de préavis est un délai de déchéance qui ne peut être ni prolongé, ni suspendu (ATF 110 V 334). Il peut toutefois être restitué en cas de raison valable, c’est-à-dire aux conditions de l’art. 41 LPGA (RUBIN, op. cit., n. 11 ad art. 36 LPGA). À teneur de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 voir également arrêt I 468/05 du 12 octobre 2005 consid. 3.1) -, mais également l’impossibilité subjective due à des circonstances personnelles ou une erreur excusables. La maladie peut être considérée comme un empêchement non fautif et, par conséquent, permettre une</w:t>
      </w:r>
    </w:p>
    <w:p>
      <w:r>
        <w:t>A/2920/2020 - 5/8 - restitution d’un délai de recours, si elle met la partie recourante ou son représentant légal objectivement ou subjectivement dans l’impossibilité d’agir par soi-même ou de charger une tierce personne d’agir en son nom dans le délai (ATF 119 II 86 consid. 2 p. 87 ; 112 V 255 ; arrêts du Tribunal fédéral 9C_209/2012 du 26 juin 2012 consid. 3.1 ; 8C_767/2008 du 12 janvier 2009 consid. 5.3.1).</w:t>
      </w:r>
    </w:p>
    <w:p>
      <w:r>
        <w:rPr>
          <w:b/>
        </w:rPr>
        <w:t>E. 5</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et des marchés (art. 6 al. 2 let. a). Cette modification est entrée en vigueur le 17 mars 2020 (RO 2020 783). Dès le 11 mai 2020, les marchés et les magasins ont pu rouvrir moyennant la mise en place d’un plan de protection (art. 6 al. 3 let. a ; modification du 29 avril 2020, entrée en vigueur le 11 mai 2020 ; RO 2020 1401).</w:t>
      </w:r>
    </w:p>
    <w:p>
      <w:r>
        <w:rPr>
          <w:b/>
        </w:rPr>
        <w:t>E. 6</w:t>
      </w:r>
    </w:p>
    <w:p>
      <w:r>
        <w:t>a.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En substance, dès le 17 mars 2020, le cercle des bénéficiaires des indemnités en cas de RHT a été élargi : le conjoint ou le partenaire enregistré de l’employeur (art. 1), ainsi que les personnes fixant les décisions prises par l’employeur (art. 2) ont pu également prétendre à une indemnité en cas de RHT. Par ailleurs, plus aucun délai d’attente ne devait être déduit de la perte de travail à prendre en considération (art. 3) et l’employeur a pu demander le versement de l’indemnité en cas de RHT sans devoir en faire l’avance (art. 6). L’art. 8b al. 1 prévoyait en outre que l’employeur n’était pas tenu de respecter un délai de préavis, lorsqu’il avait l’intention de requérir l’indemnité en cas de réduction de l’horaire de travail en faveur de ses travailleurs (RO 2020 1075). Cette disposition a été abrogée avec effet au 1er juin 2020 (RO 2020 1777). Quant à l’art. 8c de l’ordonnance COVID-19 assurance-chômage, il prévoyait qu’en dérogation à l’art. 36 al. 1 LACI, le préavis devait être renouvelé lorsque la réduction de l’horaire de travail durait</w:t>
      </w:r>
    </w:p>
    <w:p>
      <w:r>
        <w:t>A/2920/2020 - 6/8 - plus de six mois. Cette disposition a été abrogée par modification du 12 août 2020, avec effet au 1er septembre 2020 (RO 3569). b. Pour préciser les ordonnances du Conseil fédéral, le SECO a établi diverses directives. Dans la directive n. 6 (2020/06), le SECO a précisé que pour les demandes déposées en retard, le 17 mars 2020 était considéré comme la date de réception, si l’entreprise avait dû fermer en raison des mesures prises par les autorités et qu’elle avait déposé sa demande avant le 31 mars 2020 (date de réception / cachet de la Poste).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de préavis de RHT correspondait ainsi au début de la RHT et au début de l’indemnisation.</w:t>
      </w:r>
    </w:p>
    <w:p>
      <w:r>
        <w:rPr>
          <w:b/>
        </w:rPr>
        <w:t>E. 7</w:t>
      </w:r>
    </w:p>
    <w:p>
      <w:r>
        <w:t>En l’espèce, la recourante gère un établissement qui a dû fermer ses portes au public dès le 16 mars 2020. Ce n’est toutefois que le 27 mai 2020 que l’administrateur directeur de la société a fait parvenir le formulaire de préavis de RHT à l’intimé. Comme cela ressort des considérants précités, même si le délai de préavis de dix jours a été temporairement abrogé, il appartenait à la recourante d’aviser l’intimé avant le début de la RHT. Dès lors qu’elle a communiqué son formulaire de préavis de RHT le 27 mai 2020 à l’intimé, c’est à juste titre que ce dernier lui a octroyé l’indemnité en cas de RHT à compter de cette date. La recourante ne peut pas se prévaloir du fait qu’elle ignorait qu’elle n’aurait droit à des indemnités de RHT que dès le dépôt de sa demande. En effet, la loi que nul n’est censé ignorer (ATF 124 V 215 consid. 2b/aa p. 220 et arrêt du Tribunal fédéral 9C_97/2009 du 14 octobre 2009 consid. 3.3) n’a jamais consacré des versements rétroactifs d’indemnités de RHT avant la pandémie. Tout employeur est tenu d’informer l’OCE de sa volonté de réduire l’horaire de travail avant la réduction effective, le droit aux indemnités ne pouvant en effet naître rétroactivement à l’avis (arrêt du Tribunal fédéral 8C_123/2021 du 7 avril 2021 consid. 4.3 et les références mentionnées).</w:t>
      </w:r>
    </w:p>
    <w:p>
      <w:r>
        <w:t>A/2920/2020 - 7/8 - Par ailleurs, le fait que l’administrateur président de la recourante ait subi une intervention à Londres en mars 2020 ne suffit pas pour admettre l’existence d’un empêchement non fautif. Outre que l’attestation du neurologue ne permet pas d’établir que l’administrateur président était dans un état tel qu’il était objectivement ou subjectivement dans l’impossibilité d’agir par lui-même ou de charger une tierce personne d’agir en son nom dès la fermeture de son commerce, force est de retenir qu’aucun élément au dossier ne permet de retenir que l’administrateur directeur était, lui aussi, empêché de transmettre un formulaire de préavis. Le fait qu’il résidait temporairement à Londres durant le confinement ne l’empêchait pas d’adresser son préavis par email ou de charger un tiers d’agir à sa place. On relèvera à cet égard que toutes les informations figuraient sur Internet, notamment sur les sites de l’État de Genève, de l’OCE et de la fédération des entreprises romandes FER CIAM 106.1. La décision entreprise doit partant être confirmée.</w:t>
      </w:r>
    </w:p>
    <w:p>
      <w:r>
        <w:rPr>
          <w:b/>
        </w:rPr>
        <w:t>E. 8</w:t>
      </w:r>
    </w:p>
    <w:p>
      <w:r>
        <w:t>Infondé, le recours doit être rejeté. La procédure est gratuite (art. 61 let. a LPGA, dans sa version – applicable en l’occurrence – jusqu’au 31 décembre 2020). * * * * * *</w:t>
      </w:r>
    </w:p>
    <w:p>
      <w:r>
        <w:t>A/2920/2020 - 8/8 -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