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ATAS/647/2017 vom 18. Juli 2017</w:t>
      </w:r>
    </w:p>
    <w:p>
      <w:r>
        <w:t>GE Cour de justice, 2017-07-18, FR</w:t>
      </w:r>
    </w:p>
    <w:p>
      <w:r>
        <w:rPr>
          <w:b/>
        </w:rPr>
        <w:t xml:space="preserve">Quelle: </w:t>
      </w:r>
      <w:r>
        <w:t>https://mcp.opencaselaw.ch/entscheid/ge_gerichte_ATAS_647_2017</w:t>
      </w:r>
    </w:p>
    <w:p>
      <w:r>
        <w:t>FR: GE_GERICHTE ATAS/647/2017 du 18 juillet 2017</w:t>
      </w:r>
    </w:p>
    <w:p>
      <w:r>
        <w:t>IT: GE_GERICHTE ATAS/647/2017 del 18 luglio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19 décembre 2016 contre la décision litigieuse du 18 novembre 2016 reçue le 22 novembre 2016, le recours a été formé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w:t>
      </w:r>
    </w:p>
    <w:p>
      <w:r>
        <w:t>A/4325/2016 - 12/24 -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Restent cependant réservés les cas de demandes de révision de rentes d’invalidité dans lesquels, à teneur de l’art. 87 al. 2 et 3 du règlement du 17 janvier 1961 sur l’assurance- invalidité du 17 janvier 1961 (RAI - RS 831.201), il appartient à l’assuré, pour que l’intimé doive entrer en matière sur sa demande, de rendre plausible que (notamment) son invalidité s’est modifiée de manière à influencer ses droits, cas dans lesquels l’intimé doit lui impartir un délai raisonnable pour satisfaire à cette obligation et déposer ses moyens de preuve pertinents, en l'avertissant qu'il n'entrera pas en matière sur sa demande pour le cas où il ne se plierait pas à ses injonctions (ATF 130 V 64 consid. 5.2.5), à la condition de s'en tenir aux principes découlant de la protection de la bonne foi (cf. art. 5 al. 3 et 9 Cst; ATF 124 II 265 consid. 4a).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fouillée des points litigieux importants, se fondent sur des examens complets, prennent également en considération les plaintes exprimées, aient été établis en pleine connaissance du dossier (anamnèse), décrivent clairement 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w:t>
      </w:r>
    </w:p>
    <w:p>
      <w:r>
        <w:t>A/4325/2016 - 13/24 - médecins d'un assureur social aussi longtemps que ceux-ci aboutissent à des résultats convaincants, que leurs conclusions sont sérieusement motivées, que ces avis ne contiennent pas de contradictions et qu'aucun indice concret ne permette de mettre en cause leur bien-fondé.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Le litige porte sur la question de savoir si – après avoir, par une même décision de l’intimé, obtenu d’abord un trois-quarts de rente d’invalidité puis une demie-rente d’invalidité (décision équivalent à ce dernier sujet à une révision du trois-quarts de rente alloué) –, la recourante peut être mise au bénéfice d’un trois-quarts de rente d’invalidité ou même d’une rente entière d’invalidité, autrement dit si son invalidité, reconnue de 52 %, s’est péjorée au point d’influencer son droit à une rente d’invalidité. La question est aussi de savoir, le cas échéant, si elle a droit à des mesures de réadaptation.</w:t>
      </w:r>
    </w:p>
    <w:p>
      <w:r>
        <w:t>A/4325/2016 - 14/24 - La position de l’intimé n’étant pas claire, voire étant ambiguë à ce propos, il sied de préciser que la question n’est pas de savoir si la recourante a rendu plausible que son état de santé s’est modifié de façon notable et, donc, si l’intimé devait entrer en matière sur sa demande de prestations, en particulier d’augmentation de sa rente d’invalidité. Non seulement la recourante a rendu une aggravation de son état de santé plausible, mais aussi et surtout l’intimé est entré en matière sur sa demande de prestations, estimant même, après avoir requis des rapports de ses médecins traitants, qu’elle devait être soumise à une expertise médicale pluridisciplinaire. Il devait dès lors procéder de la même manière que dans les cas de révision au sens de l’art. 17 LPGA (ATF 109 V 108 consid. 2b; arrêt du Tribunal fédéral 9C_127/2017 du 14 juin 2017 consid. 3.3 ; 9C_789/2012 du 27 juillet 2013 consid. 2.2) et comparer les circonstances prévalant lors de la nouvelle décision avec celles existant lors de la dernière décision entrée en force et reposant sur un examen matériel du droit à la rente (arrêt du Tribunal fédéral 9C_412/2010 du 22 février 2011 consid. 3; Ulrich MEYER/ Marco REICHMUTH, Bundesgesetz über die Invalidenversicherung (IVG), in STAUFFER/ CARDINAUX [éd.], Rechtsprechung des Bundesgerichts zum Sozialversicherungsrecht, 3ème éd. 2014, n. 139 ad art. 30-31 LAI). La décision attaquée doit être tenue pour un refus non n’entrer en matière, mais d’accorder à la recourante un trois-quarts de rente d’invalidité ou une rente entière d’invalidité.</w:t>
      </w:r>
    </w:p>
    <w:p>
      <w:r>
        <w:rPr>
          <w:b/>
        </w:rPr>
        <w:t>E. 4</w:t>
      </w:r>
    </w:p>
    <w:p>
      <w:r>
        <w:t>a.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à savoir, s’agissant d’une demande de révision d’une demie-rente d’invalidité, durant la période s’étant écoulée entre la dernière décision entrée en force reposant sur un examen matériel du droit à la rente et le jour où la décision attaquée a été rendue. b. En l’espèce, la dernière décision en force reposant sur un examen matériel du droit à la rente avec une constatation des faits pertinents, une appréciation des preuves et une comparaison des revenus conforme au droit remonte au 24 janvier 2008, date de la décision par laquelle l’intimé a reconnu la recourante invalide, concernant la période débutant le 1er août 2007, à un degré de 52 % et lui a octroyé, dès cette date, une demie-rente d’invalidité. Il n’apparaît pas, en effet, qu’un tel examen a précédé les décisions de maintenir tel quel le droit de la recourante à une demie-rente d’invalidité que l’intimé a communiquées à cette dernière les 8 février 2010 et 22 septembre 2011 ; les avis médicaux que l’intimé avait requis des médecins traitants de la recourante lors de ces deux procédures de révision – et dont il s’est contenté – ont été des plus sommaires. Aussi faut-il retenir que les faits déterminants pour statuer sur le présent litige sont ceux qui se sont produits depuis le 25 janvier 2008, sans tenir compte à cet égard des communications précitées des</w:t>
      </w:r>
    </w:p>
    <w:p>
      <w:r>
        <w:rPr>
          <w:b/>
        </w:rPr>
        <w:t>E. 8</w:t>
      </w:r>
    </w:p>
    <w:p>
      <w:r>
        <w:t>février 2010 et 22 septembre 2011, même si, en règle générale, de telles</w:t>
      </w:r>
    </w:p>
    <w:p>
      <w:r>
        <w:t>A/4325/2016 - 15/24 - communications, si elles ne sont pas suivies d’une demande de décision (art. 74quater RAI), peuvent constituer le point de départ temporel pour l’examen d’une modification du degré d’invalidité lors d’une révision de rente (Michel VALTERIO, op. cit., n. 3067). c. Le droit applicable sur le plan matériel est donc, s’agissant de la LAI, celui qui résultait de la 5ème révision de la LAI du 6 octobre 2006, entrée en vigueur le 1er janvier 2008, puis, dès le 1er janvier 2012, le droit actuellement issu de la révision dite 6a de la LAI du 18 mars 2011, entrée en vigueur le 1er janvier 2012. Ces révisions de la LAI – à l’instar d’ailleurs de la 4ème du 21 mars 2003, entrée en vigueur le 1er janvier 2004 –, n’ont au demeurant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a. Comme le litige porte sur la question de savoir si la recourante a droit à une augmentation de sa demie-rente d’invalidité (allouée dès le 1er août 2008 sur la base d’un degré d’invalidité de 52 % et non remise en question) et/ou à des mesures de réadaptation, il sied de rappeler que ces deux types de prestations de l’AI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 à la capacité de gain ; est déterminant l'empêchement, causé par l'atteinte à la santé, d'accomplir les travaux habituels, comme la tenue du ménage, l'éducation des enfants, les achats (art. 8 al. 3 LPGA, auquel renvoie l'art. 5 al. 1 LAI).</w:t>
      </w:r>
    </w:p>
    <w:p>
      <w:r>
        <w:t>A/4325/2016 - 16/24 - La notion d'invalidité, au sens du droit des assurances sociales, est une notion économique (ATF 110 V 273 consid. 4a ;. arrêt du Tribunal fédéral des assurances I 654/00 du 9 avril 2001 consid. 1 ; Pierre-Yves GREBER, op. cit., vol. I, n. 156 ss, 160 ss), même si elle comprend un aspect médical important puisqu'elle doit résulter d'une atteinte à la santé physique, mentale ou psychique, attestée médicalement (consid. 2c). c.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 vieillesse, survivants et invalidité, in Pierre-Yves GREBER / Bettina KAHIL- WOLFF / Ghislaine FRÉSARD-FELLAY / Romolo MOLO, Droit suisse de la sécurité sociale, vol. I, 2010, n. 242 ss, 254 ss, 257 ss). 6.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w:t>
      </w:r>
    </w:p>
    <w:p>
      <w:r>
        <w:rPr>
          <w:b/>
        </w:rPr>
        <w:t>E. 13</w:t>
      </w:r>
    </w:p>
    <w:p>
      <w:r>
        <w:t>juillet 2006 consid. 4.1).</w:t>
      </w:r>
    </w:p>
    <w:p>
      <w:r>
        <w:t>A/4325/2016 - 17/24 - 7. a. Comme il est question en l’espèce notamment d’une fibromyalgie, au titre des atteintes à la santé ayant péjoré l’état de santé de la recourante, il sied d’exposer brièvement le cadre juridique de cette pathologie. b. Il a déjà été relevé (cf. consid. 5b),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(appelées aussi « troubles somatoformes douloureux ») et d’autres affections psychosomatiques assimilées, dont précisément la fibromyalgie (ATF 132 V 65 consid. 3 et 4.1). Dans un arrêt de principe du 12 mars 2004 (ATF 130 V 352),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131 V 49; 130 V 352; Michel VALTERIO, op. cit., n. 1199 ss). c. Or, selon un nouvel arrêt de principe rendu par le Tribunal fédéral le 3 juin 2015 (ATF 141 V 281), il n’y a plus de présomption selon laquelle les syndromes</w:t>
      </w:r>
    </w:p>
    <w:p>
      <w:r>
        <w:t>A/4325/2016 - 18/24 -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 Jacques-André SCHNEIDER, L’invalidité, les douleurs dites « non objectivables » et le Tribunal fédéral : la rupture, in Regards de marathoniens sur le droit suisse, 2015, p. 409 ss ; Bettina KAHIL-WOLFF, Revirement au sujet d’atteints non objectivables : l’ATF 141 V 281 (troubles somatoformes douloureux) et l’ATF 141 V 574 (« coup du lapin »), in Journées du droit de la circulation routière, éd. par Franz WERRO / Thomas PROBST, 2016, p. 135 ss).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w:t>
      </w:r>
    </w:p>
    <w:p>
      <w:r>
        <w:t>A/4325/2016 - 19/24 - ou une mauvaise acceptation d’un traitement recommandé est ou non une conséquence inévitable d’une anosognosie. 8. a. En l’espèce, c’est exclusivement (ou pour le moins essentiellement) en considération de problèmes somatiques dorsaux que la recourante, par décision du 24 janvier 2007, s’était vue reconnaître une invalidité (d’un taux ayant varié au fil du temps, en dernier lieu, dès courant 2007, de 52 %) et octroyer une rente d’invalidité (en dernier lieu une demie-rente d’invalidité). L’intimé avait soumis la recourante, en 2004, à un examen clinique bidisciplinaire, respectivement d’un spécialiste en médecine physique et rééducation et d’un psychiatre, tous deux du SMR, examen dont il était résulté d’une part qu’elle souffrait alors de lombosciatalgies droites chroniques impliquant des limitations fonctionnelles incompatibles avec l’exercice de son activité alors habituelle de femme de chambre et lingère, mais d’autre part qu’elle ne présentait aucune incapacité de travail dans le domaine psychiatrique, l’examen psychiatrique n’ayant montré aucune pathologie ni en particulier de syndrome douloureux somatoforme persistant. Le nouvel examen clinique, effectué en mars 2005 par le SMR après que la recourante avait dû subir une intervention chirurgicale en lien avec ses problèmes dorsaux, avait confirmé l’effet incapacitant de ses dorsolombalgies chroniques sur troubles dégénératifs, un syndrome algique chronique de type fibromyalgie modérée ayant été estimé n’avoir aucun effet sur la capacité de travail. À l’occasion d’un nouvel arrêt de travail de la recourante, en 2007, la Dre E______ n’avait pas évoqué de fibromyalgie, mais des lombalgies chroniques et un état dépressif sous- jacent, et le psychiatre F______, auquel ledit médecin l’avait adressée, n’avait noté que des symptômes dépressifs légers. S’il est vrai que, postérieurement à la décision précitée du 24 janvier 2008 (et même aux communications des 8 février 2010 et 22 septembre 2011), donc dans le cadre de l’instruction de la demande de révision présentée par la recourante, des médecins ont fait mention d’une fibromyalgie déjà ancienne (remontant au début des années 2000), il n’y a pas d’élément au dossier qui permette de considérer qu’une telle pathologie avait été prise en considération pour retenir que la recourante était invalide, au taux de 52 % dès le 1er août 2008. b. La recourante a bénéficié d’un reclassement professionnel, qui lui a permis d’exercer l’activité d’ouvrière en horlogerie à mi-temps (50 %), comme employée dès le 1er septembre 2007, durant plusieurs années. Elle s’est cependant retrouvée en totale incapacité de travail, attestée médicalement, dès le 5 mars 2012, en raison de paresthésies nocturnes des deux mains, insomniantes et douloureuses, avec gêne, maladresse et diminution de la sensibilité. Le chirurgien de la main G______, qui l’a opérée les 5 mars et 2 juillet 2012, a attesté, le 13 septembre 2012, qu’elle avait alors encore une totale incapacité de travail en raison d’un tunnel carpien bilatéral et d’une épicondylite bilatérale et a signalé, en les estimant alors sans effet sur la capacité de gain, des douleurs diffuses aux poignets et aux articulations en cours d’investigation. C’est dans ce contexte, alors que des examens effectués (échographie, IRM, ENMG) ne paraissaient pas révéler d’importants troubles</w:t>
      </w:r>
    </w:p>
    <w:p>
      <w:r>
        <w:t>A/4325/2016 - 20/24 - somatiques, qu’a été évoqué de façon plus explicite un tableau de douleurs chroniques diffuses, qui ressemblait bien à une fibromyalgie, en plus de problèmes plus ponctuels de tendinite de De Quervain droite et d’épicondylite bilatérale (rapport du rhumatologue I______ du 14 septembre 2012), diagnostic incapacitant que la généraliste traitante, la Dre E______, a repris dans son rapport du 24 octobre 2012, aux côtés d’une épicondylite et d’un état dépressif, en notant que le status post canal carpien bilatéral, un glaucome et une hypertension artérielle également diagnostiqués étaient quant à eux sans effet sur la capacité de travail. Se prononçant par le biais d’un rapport très succinct (reçu le 1er novembre 2012), le psychiatre F______ n’a pas même évoqué une fibromyalgie, mais un trouble dépressif de 2007 en rémission, tout en estimant, en dehors de sa sphère de spécialité, que les troubles moteur de la recourante affectaient la capacité de travail de cette dernière, à 100 % dans l’activité habituelle d’ouvrière en horlogerie, et à un taux indéterminé dans une activité qui serait adaptée à ses limitations fonctionnelles. De son côté, en novembre 2012, le rhumatologue I______ a répété que la recourante souffrait d’une fibromyalgie, d’une épicondylite gauche et d’un état dépressif. En décembre 2012, la recourante a dû subir une intervention chirurgicale effectuée par le chirurgien de la main L______ (décompression du nerf médian au canal carpien). En 2013, le 27 avril, le rhumatologue I______ a attesté à nouveau que la recourante souffrait, avec effet sur sa capacité de travail, d’une fibromyalgie et d’une épicondylite au coude gauche rebelle à tout traitement, sans se prononcer sur sa capacité de travail. La Dre M______ du SMR a alors estimé, le 20 septembre 2013, et, à sa suite, l’intimé, selon sa communication du 4 octobre 2013, qu’il était nécessaire qu’une expertise soit effectuée dans cinq spécialités médicales, à savoir la médecine interne, la rhumatologie, la neurologie, la chirurgie de la main et la psychiatrie. En dépit de l’introduction d’un tel mandat d’expertise dans la plateforme électronique SuisseMed@P en date du 4 octobre 2013, aucun centre d’expertises n’a été désigné pour effectuer ladite expertise, durant plus d’une année et demi, et l’intimé a soudainement estimé, en juin 2015, qu’aucune expertise n’était nécessaire et a révoqué – sans même entendre la recourante à ce propos – sa décision d’effectuer ladite expertise et retiré ledit mandat d’expertise de la plateforme précitée. Dans l’intervalle, la recourante avait effectué, du 24 novembre au 10 décembre 2014, un stage d’évaluation de sa capacité de travail auprès de PRO entreprise sociale privée, stage qui s’était soldé par un constat d’incapacité de la recourante de travailler dans l’économie eu égard à l’importance de ses douleurs, l’empêchant de travailler davantage que deux fois deux heures par jour et l’obligeant à se coucher au milieu de l’atelier en période de crise (cf. pièce 213 OAI) ; de plus, en mars 2015, elle avait dû subir une reprise chirurgicale en lien avec ses problèmes dorsaux. Les éléments médicaux qui ont été recueillis par l’intimé en 2016 auprès des médecins traitants, après que la recourante avait émis des objections à l’encontre du projet de décision de rejeter sa demande de prestations, ont présenté un caractère insuffisant et pour partie peu admissible, qui n’ont pas amené l’intimé à requérir</w:t>
      </w:r>
    </w:p>
    <w:p>
      <w:r>
        <w:t>A/4325/2016 - 21/24 - des compléments, précisions, voire des rectifications de la part desdits médecins, ni ne l’ont dissuadé de rendre formellement la décision attaquée, dans la ligne de son projet de décision. Il n’était en effet pas admissible que le chirurgien de la main L______, qui n’avait plus vu la recourante depuis février 2013, réponde « NON » (en lettres majuscules) aux questions relatives à la compliance de la recourante et de la bonne concordance entre les plaintes de cette dernière et l’examen clinique, alors qu’il estimait ne pas pouvoir se prononcer sur les diagnostics et leur influence sur la capacité de travail, et ajoute, avec un point d’exclamation en disant long sur sa prévention à l’égard d’une telle pathologie, que la recourante était « connue pour fibromyalgie ! ». Quant à lui, le psychiatre F______ s’est contenté d’indiquer que l’était de santé de la recourante ne s’était pas modifié de façon notable du point de vue psychiatrique, sans que l’intimé ne l’invite à se déterminer de façon plus détaillée sur l’éventualité et le cas échéant de l’effet incapacitant d’une fibromyalgie au regard des critères jurisprudentiels pertinents. Quant au médecin traitant, il a indiqué pêle-mêle des diagnostics incapacitants sans distinguer ceux qui l’avaient été durant une certaine période et ceux qui l’étaient encore ou l’étaient devenus par la suite, dont la fibromyalgie ; il évoquait cependant une persistance de lombalgies chroniques et de douleurs aux deux coudes et aux deux mains, considérait que la recourante était totalement incapable de poursuivre son activité habituelle d’ouvrière en horlogerie, mais évoquait une capacité résiduelle de travail dans une activité adaptée à 40 % depuis le 1er janvier 2014, sans que ne soit clair s’il appliquait ce pourcentage à un plein temps ou, comme semble l’avoir compris l’assurée, un mi-temps, ni s’il s’ajoutait, le cas échéant de façon pondérée, au taux d’incapacité reconnu jusqu’alors. c. Il appert que l’état de santé de la recourante s’est péjoré depuis février 2008, en particulier depuis l’année 2012, quand bien même il est concevable que des incapacités de travail qu’elle a présentées ont été transitoires et que leur traduction en termes d’invalidité ne saurait être considérée comme acquise. Il n’y a pas d’élément dans le dossier et il n’est d’ailleurs pas allégué, même par l’intimé, que la recourante aurait retrouvé une capacité de travail même partielle dans sa précédente activité habituelle de femme de chambre ou lingère ; or, il y en a qu’elle ne pourrait plus non plus exercer l’activité (devenue sa seconde activité habituelle) d’ouvrière en horlogerie (cf. rapport du 31 mars 2016 du Dr N______), ce qui laisse imaginer – point non élucidé par l’intimé – que sa capacité de travail et de gain globale peut avoir diminué, d’une part, et soulève la question – elle aussi non traitée par l’intimé – de savoir dans quels autres domaines elle pourrait exercer une capacité de travail résiduelle et si des mesures de réadaptation pourraient le lui permettre, d’autre part. Force est en outre de retenir qu’une fibromyalgie a été diagnostiquée chez la recourante – notamment par le rhumatologue I______, et ce à réitérées reprises (cf. les rapports dudit médecin des 14 septembre 2012, 11 novembre 2012, 27 avril 2013), mais aussi par la généraliste traitante, la Dre E______ (cf. son rapport du 24 octobre 2012) et son nouveau médecin traitant depuis août 2014 (cf. son rapport</w:t>
      </w:r>
    </w:p>
    <w:p>
      <w:r>
        <w:t>A/4325/2016 - 22/24 - du 31 mars 2016) –, quand bien même elle l’a été en termes assez généraux, sans s’appuyer sur des critères précis, ce que l’intimé n’a cependant pas dit ni surtout n’a cherché le cas échéant à clarifier. Or, l’appréciation du point de savoir si et dans quelle mesure une fibromyalgie, à l’instar des troubles somatoformes douloureux, est incapacitante doit en règle générale faire l’objet d’une expertise psychiatrique (ATF 132 V 65 consid. 4.1 et 130 V 352 consid. 2.2.2 ; Michel VALTERIO, op. cit., n. 1207 s.). L’avis sommaire qu’a exprimé le psychiatre F______ le 9 février 2016, au demeurant sans même évoquer une fibromyalgie, ne vaut nullement expertise psychiatrique, ni formellement ni matériellement. d. En l’espèce, manifestement gêné par le fait effectivement gênant et problématique qu’aucun centre d’expertises n’avait encore été désigné pour procéder à l’expertise qu’il avait ordonnée vingt mois auparavant (sur la question, cf. arrêt du Tribunal fédéral 9C_547/2015 du 22 avril 2016 et circulaire de l’Office fédéral des assurances sociales sur la plateforme SuisseMED@P ; ATAS/431/2017 du 30 mai 2017 consid. 3), l’intimé – se distançant d’une réserve souvent marquée à l’endroit des médecins traitants (ATF 125 V 351 consid. 3b/cc) – s’est subitement appuyé sur des indications lacunaires et peu satisfaisantes de médecins traitants quant à l’estimation de la capacité de travail résiduelle de la recourante pour estimer qu’aucune expertise n’était nécessaire et qu’il n’était pas démontré que ladite capacité de travail s’était péjorée. L’avis du chirurgien de la main L______ du 1er octobre 2013, selon lequel la recourante avait une capacité de travail de 50 % comme ouvrière en horlogerie et d’au moins 80 % comme huissière ou surveillante, ne pouvait être pertinent dans le contexte du dossier, ni en juin 2015 lorsque l’intimé a retiré le mandat d’expertise de la plateforme SuisseMED@P et communiqué son projet de refuser toute augmentation de rente, ni en novembre 2016 lorsqu’il a confirmé cette intention en rendant la décision attaquée, même si ledit chirurgien de la main avait émis dans l’intervalle, le 10 janvier 2016, son rapport précité à la fois lacunaire et d’une désobligeante subjectivité. Il a en outre écarté hâtivement, sans justifier son point de vue à ce propos, le constat effectué lors du stage d’évaluation de la capacité de travail de la recourante auprès de PRO entreprise sociale privée, à savoir que la recourante ne pouvait pas travailler dans l’économie, en raison de l’importance de ses souffrances. e. Étant entré en matière et en tout état devant entrer en matière sur la demande de prestations présentée par la recourante, l’intimé a violé son devoir d’instruire ladite demande. Cela ne signifie pas que l’intimé ne pouvait pas recentrer l’expertise médicale à effectuer sur les seules disciplines apparaissant vraiment pertinentes, à savoir, en l’occurrence, en lien avec le diagnostic de fibromyalgie, sur la rhumatologie et la psychiatrie exclusivement (cf. ATAS/158/2017 du 28 février 2017 consid. 11), ce qui n’impliquait pas l’attribution d’un mandat d’expertise selon les règles découlant de l’art. 72bis RAI. Il importe en revanche que les questions pertinentes soient soumises à l’expert de chacune des deux disciplines considérées au regard de la nouvelle jurisprudence du Tribunal fédéral sur les troubles somatoformes</w:t>
      </w:r>
    </w:p>
    <w:p>
      <w:r>
        <w:t>A/4325/2016 - 23/24 - douloureux, dont la fibromyalgie. Si des informations complémentaires relevant d’autres disciplines médicales devaient s’avérer nécessaires, notamment pour pouvoir se prononcer sur la base de données actualisées, il appartiendrait à l’intimé d’interroger les médecins traitants, le cas échéant de façon précise, sans préjudice de procéder à des examens par l’intermédiaire de médecins spécialisés du SMR. 9. L’intimé ne s’est en outre pas prononcé sur la demande, fût-elle subsidiaire, de mesures de réadaptation. 10. a. Le recours doit être admis partiellement, la décision attaquée être annulée et la cause renvoyée à l’intimé pour instruction complémentaire, au sens des considérants, puis pour nouvelle décision. b. La procédure de recours en matière de contestations portant sur l’octroi ou le refus de prestations de l’assurance-invalidité étant soumise à des frais de justice (art. 69 al. 1bis LAI; art. 89H al. 4 LPA), il y a lieu de condamner l’intimé au paiement d'un émolument, arrêté au minimum de CHF 200.-. Une indemnité de procédure doit être allouée à la recourante, qui obtient partiellement gain de cause et est représentée par un avocat (art. 61 let. g LPGA). Cette indemnité sera arrêtée à CHF 2’000.- (art. 6 du règlement sur les frais, émoluments et indemnités en procédure administrative du 30 juillet 1986 - RFPA - E 5 10.03). * * * * * *</w:t>
      </w:r>
    </w:p>
    <w:p>
      <w:r>
        <w:t>A/4325/2016 - 24/24 -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