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ATAS/647/2016 vom 23. August 2016</w:t>
      </w:r>
    </w:p>
    <w:p>
      <w:r>
        <w:t>GE Cour de justice, 2016-08-23, FR</w:t>
      </w:r>
    </w:p>
    <w:p>
      <w:r>
        <w:rPr>
          <w:b/>
        </w:rPr>
        <w:t xml:space="preserve">Quelle: </w:t>
      </w:r>
      <w:r>
        <w:t>https://mcp.opencaselaw.ch/entscheid/ge_gerichte_ATAS_647_2016</w:t>
      </w:r>
    </w:p>
    <w:p>
      <w:r>
        <w:t>FR: GE_GERICHTE ATAS/647/2016 du 23 août 2016</w:t>
      </w:r>
    </w:p>
    <w:p>
      <w:r>
        <w:t>IT: GE_GERICHTE ATAS/647/2016 del 23 agosto 2016</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de forme et de contenu prescrites par l’art. 61 let. b LPGA (cf. aussi art. 89B LPA), et par une personne ayant qualité pour recourir (art. 59 LPGA). c. Il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w:t>
      </w:r>
    </w:p>
    <w:p>
      <w:r>
        <w:t>A/1892/2016 - 5/10 -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b. En l’espèce, l’intimée a fondé la décision litigieuse sur la condition d’une perte de travail à prendre en considération, dont elle a nié la réalisation du fait que, pour la recourante, cette perte d’emploi était incontrôlable compte tenu de sa qualité de conjointe du titulaire d’une procuration avec signature collective à deux au sein de la société dont elle avait été employée.</w:t>
      </w:r>
    </w:p>
    <w:p>
      <w:r>
        <w:rPr>
          <w:b/>
        </w:rPr>
        <w:t>E. 3</w:t>
      </w:r>
    </w:p>
    <w:p>
      <w:r>
        <w:t>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w:t>
      </w:r>
    </w:p>
    <w:p>
      <w:r>
        <w:rPr>
          <w:b/>
        </w:rPr>
        <w:t>E. 4</w:t>
      </w:r>
    </w:p>
    <w:p>
      <w:r>
        <w:t>a. En l’espèce, la recourante a été simple employée de l’entreprise dans laquelle a également travaillé son mari, constituée sous la forme d’une société anonyme. À teneur des données résultant du registre du commerce relatives à cette dernière, son époux n’a pas exercé de fonction comme membre du conseil d’administration ou autre organe supérieur de direction de cette société, mais il a détenu une procuration l’habilitant à engager cette dernière collectivement à deux.</w:t>
      </w:r>
    </w:p>
    <w:p>
      <w:r>
        <w:t>A/1892/2016 - 8/10 - Il s’ensuit que, contrairement à ce que l’intimée paraît avoir retenu, on ne saurait simplement présumer de façon irréfragable que l’époux de la recourante occupait au sein de cette société une position décisionnelle assimilable à celle d’un employeur et qu’en conséquence le droit de la recourante à l’indemnité de chômage pouvait et devait être nié de ce seul fait. L’intimée devait procéder à un examen des compétences réelles de décision du conjoint de la recourante au sein de cette société, afin de déterminer s’il exerçait une influence considérable sur les décisions de l’employeur (ATF 120 V 521 consid. 3 ; arrêt du Tribunal fédéral 8C_252/2011 du 14 juin 2011 consid. 3). Elle n’a pas procédé à un tel examen (cf. Bulletin LACI/IC B 18 s. sur les démarches susceptibles d’être accomplies). b. Le seul fait que le conjoint de la recourante a demandé en son seul nom sa radiation du registre du commerce comme fondé de procuration avec signature collective à deux et a payé lui-même l’émolument de CHF 30.- réclamé par le registre du commerce pour cette opération ne saurait suffire à retenir qu’il détenait un réel pouvoir d’influer considérablement sur les décisions de ladite société. Ce n’est pas lui qui a signé, comme représentant de l’employeur, le contrat de travail de son épouse, ni l’acceptation que la résiliation dudit contrat de travail soit anticipée de deux mois (soit au 31 octobre 2015 plutôt qu’au 31 décembre 2015). D’après les statuts de la société considérée, cette dernière était administrée par un conseil d’administration composé d’un ou plusieurs membres (art. 19 al. 1), auquel revenait de prendre les décisions sur toutes les affaires non attribuées à l’assemblée générale par la loi ou les statuts (art. 22 al. 1) et de gérer les affaires de la société dans la mesure où il n’avait pas délégué la gestion (art. 22 al. 2) ; le conseil d’administration pouvait déléguer tout ou partie de la gestion à un ou plusieurs de ses membres ou à des tiers conformément au règlement d’organisation (art. 23 al. 1), et il pouvait déléguer le pouvoir de représentation de la société à un ou plusieurs de ses membres (des délégués) ou à des tiers (des directeurs), et leur confier la signature sociale individuelle ou collective (art. 24 al. 1) ; il pouvait aussi nommer des fondés de procuration et d’autres mandataires commerciaux (art. 24 al. 4). c. L’époux de la recourante n’apparaît pas avoir été directeur de la société considérée, mais fondé de procuration, pour des tâches ne ressortant cependant pas du dossier, alors qu’elles devraient ressortir du règlement d’organisation de cette société (prévu par l’art. 23 al. 1 de statuts, mais ne figurant pas au dossier) et/ou de décisions ou délibérations du conseil d’administration de la société (qui, selon l’art. 21 des statuts, devraient figurer dans des procès-verbaux, ne figurant pas non plus au dossier) : Le contrat de travail de l’époux de la recourante ne figure pas non plus au dossier. Il y a par ailleurs ambiguïté sur la durée effective de l’exercice de la fonction qu’il a exercée au sein de cette entreprise. En effet, d’après son courrier du 10 février 2016 à ladite société, il avait été convenu oralement entre lui et l’administrateur de cette dernière (Monsieur C______), en juillet 2015, qu’il démissionnait de son « poste en</w:t>
      </w:r>
    </w:p>
    <w:p>
      <w:r>
        <w:t>A/1892/2016 - 9/10 - qualité de vendeur ainsi que de (sa) qualité de détenteur d’une signature collective à 2 pour le compte de B______ SA », mais, par une attestation du 30 juillet 2015, cette société avait confirmé qu’il avait travaillé en son sein comme vendeur du 1er novembre 2008 au 15 juillet 2015 et qu’il quittait ladite société « aujourd’hui libre de tout engagement ». Non seulement l’inscription au registre du commerce n’a alors pas été radiée, mais aussi, d’après ce que la recourante a indiqué dans son recours, son époux avait été salarié de ladite société du 1er novembre 2008 au 30 juin 2010 et avait « poursuivi son travail dès juillet 2010 sans avoir davantage de prérogatives mais en payant lui-même la totalité des charges sociales – employé et employeur – et en s’inscrivant au RC à la demande expresse de son employeur ». L’intimée n’a pas questionné l’ancien employeur de la recourante et de son mari – ni d’ailleurs ce dernier – pour être mieux renseignée sur les tâches réelles qui étaient liées à sa qualité de fondé de procuration avec signature collective à deux au sein de ladite société. La recourante affirme que son conjoint ne détient pas d’action de la société considérée, qui sont des actions au porteur (art. 6 al. 1 des statuts). Il n’y a pas dans le dossier de données fiscales permettant de savoir s’il a déclaré une participation à ladite société. d. Si donc des indices tendent à faire penser que le conjoint de la recourante n’occupait pas au sein de la société ayant employé cette dernière une position dirigeante devant amener à nier à la recourante le droit à l’indemnité de chômage, il appert que le dossier doit être complété sur quelques points, afin que la question puisse être tranchée au moins au degré de vraisemblance prépondérante requis en matière d’assurances sociales.</w:t>
      </w:r>
    </w:p>
    <w:p>
      <w:r>
        <w:rPr>
          <w:b/>
        </w:rPr>
        <w:t>E. 5</w:t>
      </w:r>
    </w:p>
    <w:p>
      <w:r>
        <w:t>C’est à l’intimée qu’il incombe de compléter l’instruction, dès lors qu’il s’avère qu’elle ne s’est pas prononcée au regard des critères pertinents, mais essentiellement sur la base d’une présomption en l’espèce inapplicable. Le recours sera donc admis partiellement, la décision attaquée annulée et la cause renvoyée à l’intimée pour instruction complémentaire et nouvelle décision.</w:t>
      </w:r>
    </w:p>
    <w:p>
      <w:r>
        <w:rPr>
          <w:b/>
        </w:rPr>
        <w:t>E. 6</w:t>
      </w:r>
    </w:p>
    <w:p>
      <w:r>
        <w:t>La procédure est gratuite (art. 61 let. a LPGA). * * * * * *</w:t>
      </w:r>
    </w:p>
    <w:p>
      <w:r>
        <w:t>A/1892/2016 - 10/10 -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