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ATAS/647/2014 vom 27. Mai 2014</w:t>
      </w:r>
    </w:p>
    <w:p>
      <w:r>
        <w:t>GE Cour de justice, 2014-05-27, FR</w:t>
      </w:r>
    </w:p>
    <w:p>
      <w:r>
        <w:rPr>
          <w:b/>
        </w:rPr>
        <w:t xml:space="preserve">Quelle: </w:t>
      </w:r>
      <w:r>
        <w:t>https://mcp.opencaselaw.ch/entscheid/ge_gerichte_ATAS_647_2014</w:t>
      </w:r>
    </w:p>
    <w:p>
      <w:r>
        <w:t>FR: GE_GERICHTE ATAS/647/2014 du 27 mai 2014</w:t>
      </w:r>
    </w:p>
    <w:p>
      <w:r>
        <w:t>IT: GE_GERICHTE ATAS/647/2014 del 27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A/1991/2012 - 13/23 -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4.1</w:t>
      </w:r>
    </w:p>
    <w:p>
      <w:r>
        <w:t>et la référence).</w:t>
      </w:r>
    </w:p>
    <w:p>
      <w:r>
        <w:rPr>
          <w:b/>
        </w:rPr>
        <w:t>E. 5</w:t>
      </w:r>
    </w:p>
    <w:p>
      <w:r>
        <w:t>Le litige porte sur la suppression de la rente d'invalidité, singulièrement sur l'amélioration de l'état de santé de l'assuré et sa capacité de travail dans une activité adaptée.</w:t>
      </w:r>
    </w:p>
    <w:p>
      <w:r>
        <w:rPr>
          <w:b/>
        </w:rPr>
        <w:t>E. 6</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w:t>
      </w:r>
    </w:p>
    <w:p>
      <w:r>
        <w:t>A/1991/2012 - 14/23 -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A/1991/2012 - 15/23 -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MEYER-BLASER, Bundesgesetz über die Invalidenversicherung, Zurich 1997, p. 8). c)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w:t>
      </w:r>
    </w:p>
    <w:p>
      <w:r>
        <w:t>A/1991/2012 - 16/23 -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w:t>
      </w:r>
    </w:p>
    <w:p>
      <w:r>
        <w:t>A/1991/2012 - 17/23 -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8</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Les constatations médicales peuvent être complétées par des renseignements d’ordre professionnel, par exemple au terme d'un stage dans un centre d'observation professionnel de l'assurance-invalidité, en vue d'établir concrètement dans quelle</w:t>
      </w:r>
    </w:p>
    <w:p>
      <w:r>
        <w:t>A/1991/2012 - 18/23 -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A/1991/2012 - 19/23 -</w:t>
      </w:r>
    </w:p>
    <w:p>
      <w:r>
        <w:rPr>
          <w:b/>
        </w:rPr>
        <w:t>E. 9</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dans le cadre de la procédure de révision ordonnée en juillet 2006, il convient de comparer la situation lors de la décision du 2 septembre 2003 avec celle prévalant le 31 mai 2012. La rente a été octroyée en raison d'une totale incapacité de travail due à la nécrose aseptique de la hanche, à la dépendance alcoolique de l'assuré et au dommage mental causé par celle-ci. Il est établi sur la base des rapports médicaux que l'état de santé de l'assuré s'est amélioré après 2003, puisque grâce à l'abstinence acquise en 2004, la nécrose aseptique de la hanche a pu être opérée par pose d'une prothèse en novembre 2005. Cela étant, et contrairement à ce que retenait le SMR en juin 2007, le Dr E_____, alors médecin-traitant de l'assuré, n'admettait pas une capacité de travail de 50% sans restriction, mais dans un milieu</w:t>
      </w:r>
    </w:p>
    <w:p>
      <w:r>
        <w:t>A/1991/2012 - 20/23 - protégé. Il ressort de l'instruction de la cause que, du point de vue somatique, l'assuré reste fortement limité au niveau de la hanche droite (boiterie, limitation du périmètre de marche) et de l'épaule gauche, qu'il présente des épisodes d'épilepsie de type grand mal ainsi que des céphalées. Il est définitivement et totalement incapable de travailler comme peintre en bâtiment et dans toute activité manuelle lourde (manœuvre, etc.). Du point de vue psychique, l'expertise du Dr G____, dont la valeur probante n'est pas contestée, permet de retenir que si l'assuré n'est atteint d'aucun trouble ayant valeur de maladie psychique selon la classification internationale, il présente d'importants troubles psychiques (fragilité émotionnelle, labilité affective, lenteur idéique et motrice, fatigabilité, difficulté à maintenir un niveau de concentration efficace dans la durée, faible résistance au stress), qui limitent fortement sa capacité de travail. Ces troubles sont vraisemblablement la conséquence de la consommation abusive de divers psychotropes, qui s'est développée dans un terrain génétique vulnérable, un environnement familial délétère, terrain encore fragilisé par un TCC et des crises d'épilepsie. Le Dr G____ s'écarte des diagnostics retenus par le Dr H____, mais confirme que la fragilité de l'assuré est telle que la confrontation à un travail exigeant un rendement risque d'entrainer une rechute alcoolique. D'ailleurs, le service de la réadaptation avait déjà des doutes sur la capacité résiduelle de l'assuré lors de l'évaluation de 2007, celui-ci ayant alors repris une consommation d'alcool entre octobre 2007 et février 2008, suite à une crise d'épilepsie dans un contexte fragilisé. Selon l'expert, l'état de santé psychique s'est amélioré depuis 2003 et la capacité de travail de l'assuré est plus importante en 2013 que lors de la première expertise en 2007, mais il est peu probable qu'elle dépasse une capacité de 50% dans un milieu protégé, tel que celui de l'édition de la Feuille de trèfle de Carrefour Rue, en raison des limitations psychiques et somatiques. L'examen neuropsychologique a confirmé les troubles cognitifs au point de vue attentionnel et exécutif. Finalement, le stage de réentraînement à l'effort aux EPI avait corroboré l'importance des limitations tant physiques que neuropsychologiques de l'assuré, qui ne parvient que difficilement à assurer un rendement de 45%, en raison d'un besoin accru d'alternance des positions, de la lenteur d'exécution, de la fatigabilité, des difficultés de mémoire et de concentration, nécessitant un entourage compréhensif, l'absence de stress et un contexte peu bruyant. Les experts psychiatre et neuropsychologue, ainsi que les maîtres d'atelier des EPI soulignent tous l'excellente motivation de l'assuré, son application et l'absence de toute exagération des plaintes.</w:t>
      </w:r>
    </w:p>
    <w:p>
      <w:r>
        <w:rPr>
          <w:b/>
        </w:rPr>
        <w:t>E. 11</w:t>
      </w:r>
    </w:p>
    <w:p>
      <w:r>
        <w:t>Sur ces bases, le SMR estime désormais à juste titre que l'assuré ne présente plus qu'une capacité de travail de 45% dans une activité respectant strictement ses limitations fonctionnelles. Du point de vue somatique, une alternance de position toutes les 20 minutes, un périmètre de marche limité, l'impossibilité d'utiliser une pédale à l'établi, les limitations de mobilité du bras gauche ainsi que la fatigue restreignent le champ d'activités, mais permettent toutefois un certain nombre d'activités simples et répétitives, voire administratives (cf. avis du Dr F_____). Par</w:t>
      </w:r>
    </w:p>
    <w:p>
      <w:r>
        <w:t>A/1991/2012 - 21/23 - contre, la fragilité psychique et les troubles cognitifs (concentration, mémoire et capacité exécutive) excluent tout travail de type administratif. De même, s'ils ne sont pas en eux-mêmes totalement incompatibles avec une activité légère, les conditions dans lesquelles le travail doit avoir lieu (absence de stress, entourage compréhensif, environnement peu bruyant) ne sont pas exigibles d'un employeur et ne se trouvent d'ailleurs pas sur le marché du travail ordinaire, même détendu, car cela correspond précisément aux conditions du travail en milieu protégé. Ainsi, malgré une amélioration de son état de santé, l'assuré ne peut pas exploiter sa capacité de travail résiduelle dans un emploi adapté à ses limitations fonctionnelles, de sorte que c'est à tort que l'OAI a supprimé la rente entière d'invalidité par décision du 31 mai 2012.</w:t>
      </w:r>
    </w:p>
    <w:p>
      <w:r>
        <w:rPr>
          <w:b/>
        </w:rPr>
        <w:t>E. 12</w:t>
      </w:r>
    </w:p>
    <w:p>
      <w:r>
        <w:t>Par surabondance de moyens, on ajoutera que si la capacité de travail de 45% de l'assuré était encore exploitable, la suppression et même la diminution de la rente serait injustifiée, une rente entière restant due. Toutes les activités de force sont exclues, celles en usine exigeant un rendement aussi, le travail administratif demandant concentration également. On pourrait éventuellement envisager un travail de gardien de musée (TA1 ligne 91 : 4'633.-), d'employé de service dans le bâtiment (surveillance d'immeuble, conciergerie légère : TA 1 ligne 81: 4'114.-), voire de service personnels (TA 1 ligne 96: 4'256.-). Pour 41,6 heures de travail, le salaire moyen s'élève à 54'088.-. En raison de l'importance de ses limitations, de son âge (46 ans), de sa faible capacité d'adaptation en raison du nombre d'années sans activité (ce qui est équivalent à de nombreuses années dans la même activité), c'est un abattement maximum de 25% qu'il conviendrait d'appliquer au salaire d'invalide. A supposer donc qu'une telle activité soit exigible, le calcul du taux d'invalidité serait alors le suivant selon le calcul effectué par l'OAI à l'appui de la décision querellée : - Salaire sans invalidité : 61'164.- - Salaire d'invalide : 18'254.- [(54'088.- x 45% = 24'339.-) - (25% de 24'339.-)] - Différence: 42'910.- - Taux d'invalidité: 70%</w:t>
      </w:r>
    </w:p>
    <w:p>
      <w:r>
        <w:rPr>
          <w:b/>
        </w:rPr>
        <w:t>E. 13</w:t>
      </w:r>
    </w:p>
    <w:p>
      <w:r>
        <w:t>Au vu de ce qui précède, le recours sera admis et la décision du 31 mai 2012 sera annulée. Le recourant obtenant gain de cause, une indemnité de CHF 3'500.-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 Quant aux frais d'expertise du Dr G____ (CHF 3'935,70) et de Madame P____ (CHF 1'615,30), ils seront mis à la charge de l'intimé, conformément à la jurisprudence en la matière (cf. ATF 137 V 2010 consid. 4.4.2), dès lors que la chambre de céans a dû procéder à cette instruction en lieu et place de l'intimé, qui aurait dû ordonner une complément d'expertise à celle du Dr H____, au vu de ses</w:t>
      </w:r>
    </w:p>
    <w:p>
      <w:r>
        <w:t>A/1991/2012 - 22/23 - doutes quant à sa valeur probante, des objections fondées du médecin-traitant et des conclusions des EPI qui démontraient une capacité de travail restreinte en raison des limitations somatiques et psychiques et absolument pas dues à un manque de motivation.</w:t>
      </w:r>
    </w:p>
    <w:p>
      <w:r>
        <w:t>A/1991/2012 - 23/23 -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