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ATAS/646/2021 vom 22. Juni 2021</w:t>
      </w:r>
    </w:p>
    <w:p>
      <w:r>
        <w:t>GE Cour de justice, 2021-06-22, FR</w:t>
      </w:r>
    </w:p>
    <w:p>
      <w:r>
        <w:rPr>
          <w:b/>
        </w:rPr>
        <w:t xml:space="preserve">Quelle: </w:t>
      </w:r>
      <w:r>
        <w:t>https://mcp.opencaselaw.ch/entscheid/ge_gerichte_ATAS_646_2021</w:t>
      </w:r>
    </w:p>
    <w:p>
      <w:r>
        <w:t>FR: GE_GERICHTE ATAS/646/2021 du 22 juin 2021</w:t>
      </w:r>
    </w:p>
    <w:p>
      <w:r>
        <w:t>IT: GE_GERICHTE ATAS/646/2021 del 22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est entrée en vigueur le 1er janvier 2021. Dès lors que le présent recours était pendant devant la chambre de céans à cette date, il reste soumis à l'ancien droit (cf. art. 83 LPGA).</w:t>
      </w:r>
    </w:p>
    <w:p>
      <w:r>
        <w:rPr>
          <w:b/>
        </w:rPr>
        <w:t>E. 3</w:t>
      </w:r>
    </w:p>
    <w:p>
      <w:r>
        <w:t>Déposé dans les forme et délai prévus par la loi (art. 56ss LPGA), le recours est recevable.</w:t>
      </w:r>
    </w:p>
    <w:p>
      <w:r>
        <w:rPr>
          <w:b/>
        </w:rPr>
        <w:t>E. 4</w:t>
      </w:r>
    </w:p>
    <w:p>
      <w:r>
        <w:t>Le litige porte sur le droit du recourant à des prestations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Les mesures d’ordre professionnel comprennent l’orientation professionnelle (art. 15 LAI), la formation professionnelle initiale (art. 16 LAI), le reclassement (art. 17 LAI) et le placement (art. 18 LAI). Aux termes de l'art. 17 LAI, l'assuré a droit au reclassement dans une nouvelle profession lorsque son invalidité rend cette mesure nécessaire, et que sa capacité de</w:t>
      </w:r>
    </w:p>
    <w:p>
      <w:r>
        <w:t>A/955/2020 - 12/21 -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du Tribunal fédéral 9C_846/2018 du 29 novembre 2019 consid. 5.1).</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A/955/2020 - 13/21 -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w:t>
      </w:r>
    </w:p>
    <w:p>
      <w:r>
        <w:t>A/955/2020 - 14/21 -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t>A/955/2020 - 15/21 - 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 Marc REICHMUTH, Rechtsprechung des Bundesgerichts zum IVG, 3ème éd., 2014, n. 108 ad art. 28a LAI).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tes ; ces personnes doivent généralement compter sur des salaires inférieurs à la moyenne (ATF 124 V 321 consid. 3b/bb ; arrêt du Tribunal fédéral 9C_371/2013 du 22 août 2013 consid. 5.3).</w:t>
      </w:r>
    </w:p>
    <w:p>
      <w:r>
        <w:rPr>
          <w:b/>
        </w:rPr>
        <w:t>E. 10</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w:t>
      </w:r>
    </w:p>
    <w:p>
      <w:r>
        <w:t>A/955/2020 - 16/21 -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11</w:t>
      </w:r>
    </w:p>
    <w:p>
      <w:r>
        <w:t>En l’espèce, l’intimé a fixé le degré d’invalidité du recourant en tenant compte d’une capacité de travail entière dans une activité adaptée, se référant aux limitations fonctionnelles définies par le Dr B______. Ce dernier a retenu que l’exercice d’une activité adaptée était possible. Il a émis ces conclusions au terme d’un examen clinique réalisé après avoir pris connaissance du dossier et de l’historique médicaux du recourant et recueilli ses plaintes, de sorte que son rapport contient tous les éléments nécessaires au plan formel pour se voir reconnaître pleine valeur probante. En ce qui concerne le diagnostic de CRPS, atteinte également connue sous le nom d’algodystrophie ou de maladie de Sudeck (arrêt du Tribunal fédéral 8C_528/2016 du 31 octobre 2016 consid. 4.2), évoqué par le Dr B______, on rappellera en premier lieu qu’il l’a uniquement qualifié de possible. En outre, l’évocation de cette atteinte paraît en contradiction avec le fait qu’il n’a précisément pas constaté de signes d’algodystrophie lors de son examen, à l’instar du reste des médecins de la CRR. Ce diagnostic n’est retenu par aucun autre médecin, en particulier ni par le Dr C______, ni par les médecins de la Consultation de la douleur. Dans ces circonstances, il n’y a pas lieu de procéder à des investigations supplémentaires pour exclure formellement une telle atteinte. C’est ici le lieu de souligner qu’on peine à saisir la critique du recourant à l’encontre des conclusions du Dr B______, à qui il reproche d’avoir fondé son appréciation sur l’absence de diagnostic somatique. En effet, un médecin appelé à se déterminer sur la capacité de travail d’un assuré est précisément chargé de définir dans quelle mesure une activité est exigible en fonction des atteintes objectivement constatées.</w:t>
      </w:r>
    </w:p>
    <w:p>
      <w:r>
        <w:t>A/955/2020 - 17/21 - Les autres rapports des médecins ne permettent pas de s’écarter de l’exigibilité établie par le médecin d’arrondissement. Les médecins de la CRR avaient eux aussi qualifié le pronostic de réinsertion dans une activité adaptée de favorable lors du séjour du recourant. S’agissant du Dr C______, il ne fait pas état de diagnostic qui aurait été ignoré par le Dr B______, et il exclut la reprise d’une activité en raison des douleurs, malgré la consolidation des fractures. Le Dr I______ a également fondé l’incapacité de travail à laquelle il conclut sur les douleurs somatiques. Or, si les effets d’une symptomatologie douloureuse objectivable ou non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(ATF 140 V 290 consid. 4.2). Au plan psychiatrique, le Dr H______ a exclu tout diagnostic de cet ordre lors de son examen de décembre 2019, en soulignant que le moral du recourant allait mieux depuis quelque temps, et qu’il avait pu cesser son traitement psychotrope quatre mois plus tôt. Le Dr I______ se contente en substance d’affirmer que le diagnostic qui aurait dû être retenu par son confrère était celui d’épisode dépressif en rémission partielle au vu des troubles passés, en admettant toutefois que cela n'avait pas d’incidence sur la capacité de travail du recourant. Ce psychiatre traitant a également admis que l’aggravation de l’état psychique du recourant entre décembre 2019 et avril 2020 n’était que transitoire et réactionnelle, le traitement ayant du reste pris fin à cette dernière date. Comme on l’a vu, ses conclusions quant à la capacité de travail du recourant ne sont pas dictées par des motifs psychiques mais somatiques, si bien qu’on doit admettre que la capacité de travail du recourant au plan psychique était entière quelque temps avant l'expertise du Dr H______ déjà. Dans ces circonstances, il est superfétatoire d’ordonner une expertise psychiatrique et neurologique, par appréciation anticipée des preuves (arrêt du Tribunal fédéral 9C_97/2020 du 10 juin 2020 consid. 3.2). Compte tenu de ce qui précède, la chambre de céans se ralliera à l’appréciation des médecins de la CNA et du SMR, selon laquelle le recourant est apte à reprendre une activité lucrative adaptée à temps complet. En revanche, on ne saurait suivre l’intimé en tant qu’il fixe le début de l’exigibilité à février 2018. Un médecin des HUG a certes indiqué que le traitement chirurgical était terminé à cette date (cf. rapport du 27 avril 2018 ; supra consid. 6). Ce rapport suscite toutefois des doutes, dès lors qu’il conclut à une reprise possible de l’activité de monteur-électricien, que les autres médecins ont pourtant unanimement exclue. En outre, il est patent que l’état de santé du recourant n’était alors pas stabilisé, le traitement – notamment la physiothérapie – devant se poursuivre. L'intimé l'admettait du reste dans sa note du 27 novembre 2018.</w:t>
      </w:r>
    </w:p>
    <w:p>
      <w:r>
        <w:t>A/955/2020 - 18/21 - En vertu de l’art. 16 de la loi fédérale sur l'assurance-accidents du 20 mars 1981 (LAA - RS 832.20),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Dans l’assurance-accidents, l’obligation de diminuer le dommage liée à l’exigibilité d’une activité dans une autre profession ou un autre domaine ancrée à l’art. 6 LPGA n’est pas applicable selon une partie de la doctrine. Dans ce domaine, l’assuré bénéficie en vertu de l’art. 16 LAA d’une relative protection (Berufsschutz), si bien que la capacité de travail s’analyse en fonction de l’empêchement dans l’activité habituelle, et une des conditions de l’exigibilité du changement d’activité est que l’état de santé soit stabilisé (Marc HÜRZELER in Basler Kommentar, Unfallversicherungsgesetz, 2019, n. 23 ad art. 16 LAA). La loi ne précise pas ce qu'il faut entendre par une sensible amélioration de l'état de santé de l'assuré. Le terme « sensible » tend à spécifier qu'il doit s'agir d'une amélioration significative, un progrès négligeable étant insuffisant (ATF 134 V 109 consid. 4.3).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Le présent litige porte certes sur le droit aux prestations de l’assurance-invalidité, et non de l’assurance-accidents. Cependant, la jurisprudence a retenu dans des causes relevant de l'assurance-invalidité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 cf. également ATAS/784/2016 du 29 septembre 2016 consid. 11). Il y a ainsi lieu de déterminer à quelle date l’état de santé du recourant était stabilisé pour fixer la date dès laquelle la reprise d’une activité adaptée est exigible. La physiothérapeute relevait en juillet 2019 le manque d’efficacité de ce traitement sur la problématique centrale du recourant, soit ses douleurs. Lors de son dernier examen du 8 novembre 2019, le Dr B______ n’a pas retenu d’indication à la poursuite de la physiothérapie, et n'a pas proposé d’autre traitement. À cette date, aucun des médecins traitants ne formulait de proposition thérapeutique précise. Le</w:t>
      </w:r>
    </w:p>
    <w:p>
      <w:r>
        <w:t>A/955/2020 - 19/21 - Dr C______ a également qualifié l’état du recourant de stationnaire en novembre 2019. Partant, au vu des rapports médicaux, on peut admettre que c’est en novembre 2019 que l’état du recourant s'est stabilisé. Jusqu'à cette date, il y a lieu de retenir une incapacité de travail totale dans toute activité. Le recourant a ainsi droit à une rente entière d'invalidité dès le 1er octobre 2018, soit six mois après sa demande de prestations, jusqu'à fin février 2020, soit trois mois après la stabilisation de son état de santé. En effet,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RAI.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w:t>
      </w:r>
    </w:p>
    <w:p>
      <w:r>
        <w:rPr>
          <w:b/>
        </w:rPr>
        <w:t>E. 12</w:t>
      </w:r>
    </w:p>
    <w:p>
      <w:r>
        <w:t>Il convient ensuite d'examiner le degré d’invalidité du recourant dès le 1er mars 2020. S’agissant de l’activité exigible dès cette date, contrairement à ce que le recourant allègue, ses limitations fonctionnelles ne sont pas telles qu’il serait entièrement privé de l’usage de ses mains. Ni les médecins de la CRR, ni le Dr B______ n’ont proscrit totalement les activités exigeant des mouvements des mains ou des poignets. Dans le cas d’un assuré ayant également subi des fractures des deux poignets entraînant des limitations fonctionnelles liées aux travaux exigeant de la force et l'utilisation répétitive des deux poignets, la jurisprudence a confirmé qu’il n’était pas irréaliste de retenir l’exigibilité d’une activité adaptée, à l’aune d’un marché équilibré du travail (arrêt du Tribunal fédéral 8C_175/2017 du 30 octobre 2017). On admettra ainsi que le recourant serait en mesure de réaliser le revenu statistique tiré d’activités simples et répétitives pour un homme (ESS 2018, TA1_tirage_skill_level, niveau 1), soit CHF 5'417.- par mois et CHF 65'004.- annualisé. Ce revenu est de CHF 68'377.- une fois indexé à 2019 et adapté à la durée normale de travail de 41.7 heures. L’intimé n’a procédé à aucun abattement sur ce revenu, affirmant que les conditions n’étaient pas réalisées. Sur ce point, il ne peut être suivi. En effet, il n’est pas contesté que le recourant présente des limitations fonctionnelles relativement significatives. Au vu de cet élément et du critère des années de service, il se justifie</w:t>
      </w:r>
    </w:p>
    <w:p>
      <w:r>
        <w:t>A/955/2020 - 20/21 - en l’espèce d’appliquer un abattement de 15 %, ce qui porte le revenu d’invalide à CHF 58'120.-. S’agissant du revenu sans invalidité, il était selon l’employeur de CHF 32.- par heure en 2018, indemnités pour vacances et 13ème salaire non inclus, soit CHF 72'104.- compte tenu d’un horaire de travail de 40 heures hebdomadaires multiplié par 52 semaines par année, et du 13ème salaire. Indexé à 2019, cela représente un revenu de CHF 72'753.-. La comparaison des revenus avant et après invalidité révèle ainsi un degré d’invalidité de 20.11 %, inférieur au taux ouvrant le droit à une rente. Ce degré d’invalidité est en revanche suffisant pour ouvrir le droit à des mesures d’ordre professionnel, étant souligné que l'aptitude subjective du recourant à suivre de telles mesures n'est pas remise en cause par l'intimé. Le recourant a ainsi droit à la mise en œuvre de ces mesures par l'intimé, au terme desquelles il y aura lieu de réexaminer son degré d'invalidité.</w:t>
      </w:r>
    </w:p>
    <w:p>
      <w:r>
        <w:rPr>
          <w:b/>
        </w:rPr>
        <w:t>E. 13</w:t>
      </w:r>
    </w:p>
    <w:p>
      <w:r>
        <w:t>Le recours est partiellement admis. Le recourant a droit à des dépens, qui seront fixés à CHF 2'500.- (art. 61 let. g LPGA). La procédure en matière d'octroi de prestations d'invalidité n'étant pas gratuite (cf. art. 69 al. 1bis LAI), l'intimé supporte l'émolument de procédure de CHF 200.- * * * * * *</w:t>
      </w:r>
    </w:p>
    <w:p>
      <w:r>
        <w:t>A/955/2020 - 21/21 -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