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ATAS/646/2020 vom 10. August 2020</w:t>
      </w:r>
    </w:p>
    <w:p>
      <w:r>
        <w:t>GE Cour de justice, 2020-08-10, FR</w:t>
      </w:r>
    </w:p>
    <w:p>
      <w:r>
        <w:rPr>
          <w:b/>
        </w:rPr>
        <w:t xml:space="preserve">Quelle: </w:t>
      </w:r>
      <w:r>
        <w:t>https://mcp.opencaselaw.ch/entscheid/ge_gerichte_ATAS_646_2020</w:t>
      </w:r>
    </w:p>
    <w:p>
      <w:r>
        <w:t>FR: GE_GERICHTE ATAS/646/2020 du 10 août 2020</w:t>
      </w:r>
    </w:p>
    <w:p>
      <w:r>
        <w:t>IT: GE_GERICHTE ATAS/646/2020 del 10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décision sur opposition de l’intimé du 20 février 2020, de révoquer la décision d’octroi d’une AIT pour la période du 15 octobre 2018 au 14 avril 2019.</w:t>
      </w:r>
    </w:p>
    <w:p>
      <w:r>
        <w:rPr>
          <w:b/>
        </w:rPr>
        <w:t>E. 4</w:t>
      </w:r>
    </w:p>
    <w:p>
      <w:r>
        <w:t>a. 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al. 1 et 2bis LACI prévoit que les AIT couvrent la différence entre le salaire effectif et le salaire normal que l'assuré peut prétendre au terme de sa mise</w:t>
      </w:r>
    </w:p>
    <w:p>
      <w:r>
        <w:t>A/1006/2020 - 8/14 - au courant, compte tenu de sa capacité de travail, mais tout au plus 60 % du salaire normal (al. 1). Les assurés âgés de 50 ans ou plus ont droit aux allocations d'initiation au travail pendant douze mois (al. 2bis). Aux termes de l’art. 90 al. 3 OACI, l'autorité cantonale vérifie auprès de l'employeur si les conditions dont dépend l'octroi d'AIT sont remplies. Elle peut exiger que les conditions selon l'art. 65 let. b et c LACI fassent l'objet d'un contrat écrit.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Selon le Bulletin LACI/MMT J 27, janvier 2019, du SECO, l’employeur s’engage à remplir un certain nombre d’obligations. Afin que l'employeur soit parfaitement informé, il est ainsi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 cette restitution s'opère conformément à l'art. 95 al. 1 LACI. S'il apparaît après le début de l'initiation que celle-ci ne pourra raisonnablement être menée à bien, le rapport de travail doit être</w:t>
      </w:r>
    </w:p>
    <w:p>
      <w:r>
        <w:t>A/1006/2020 - 9/14 - cependant résilié. L'autorité compétente doit être avisée au préalable du possible échec de l'initiation afin de tenter de rétablir l'entente entre le travailleur et l'employeur.</w:t>
      </w:r>
    </w:p>
    <w:p>
      <w:r>
        <w:rPr>
          <w:b/>
        </w:rPr>
        <w:t>E. 5</w:t>
      </w:r>
    </w:p>
    <w:p>
      <w:r>
        <w:t>a. 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b. Selon la jurisprudence, l'employeur doit notifier le licenciement immédiat dès qu'il a connu le juste motif dont il entend se prévaloir, ou au plus tard après un bref délai de réflexion. S'il tarde à réagir, il est présumé avoir renoncé au licenciement</w:t>
      </w:r>
    </w:p>
    <w:p>
      <w:r>
        <w:t>A/1006/2020 - 10/14 - immédiat ; à tout le moins, il donne à penser que la continuation des rapports de travail est possible jusqu'à la fin du délai de congé (ATF 127 III 310 consid. 4b).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w:t>
      </w:r>
    </w:p>
    <w:p>
      <w:r>
        <w:rPr>
          <w:b/>
        </w:rPr>
        <w:t>E. 10</w:t>
      </w:r>
    </w:p>
    <w:p>
      <w:r>
        <w:t>juillet 2002 consid. 4). Il faut toutefois que les justes motifs invoqués après la résiliation soient en étroite corrélation avec les motifs figurant dans la lettre de licenciement (arrêt du Tribunal fédéral des assurances sociales C 4/02 du 10 juillet 2002).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7. a. En l’espèce, la décision d’octroi de l’AIT du 12 octobre 2018, indique que les allocations versées pourront être demandées en remboursement si le contrat est résilié en dehors du temps d’essai et sans justes motifs, pendant la période d’initiation ou dans les trois mois qui suivent. Cette obligation fait partie des conditions d’octroi de l’AIT. L’assuré a été licencié pendant la période d’initiation, au sens de la décision précitée, moyennant le respect d’un délai de congé de trois mois, en raison d’inaptitudes professionnelles. La recourante a en effet relevé que l’employé n’avait pas les compétences requises pour le poste de directeur des ventes (courriers de M. C______ à l’assuré du 18 janvier 2019 et de l’avocat de la société à celui de</w:t>
      </w:r>
    </w:p>
    <w:p>
      <w:r>
        <w:t>A/1006/2020 - 11/14 - l’assuré du 1er novembre 2019). Le licenciement n’a ainsi pas été prononcé de façon immédiate pour justes motifs au sens de l’art. 337 CO. En conséquence, ce licenciement entraîne, selon la décision du 12 octobre 2018, l’obligation de rembourser l’AIT octroyée. b. M. C______ se prévaut toutefois de l’existence de justes motifs de licenciement, au sens de l’art. 337 CO ; il a en effet déclaré lors de l’audience du 29 juin 2020 qu’il estimait que l’employé avait commis des fautes graves qui auraient justifié un licenciement avec effet immédiat. Les manquements invoqués (erreurs de commandes, mails sans signature, manque de proactivité, mensonges quant à sa présence à des rendez-vous avec des clients ainsi qu’une inadéquation dans les relations avec les clients, corroborées par une note du 27 novembre 2018 de la société qui mentionne des problèmes de comportement de l’employé avec des clients, lesquels se sont plaints, sont insatisfaits et très mécontents), certes graves et de nature à rompre le lien de confiance entre les parties, n’ont cependant pas été mentionnés comme tels dans la lettre de licenciement du 18 janvier 2019. Celle-ci souligne en effet uniquement l’incompétence de l’employé, lequel présentait beaucoup de lacunes dans la vente, ainsi que sa passivité face aux tâches qui lui étaient demandées ; il est également relevé qu’un autre poste plus adapté à son expérience lui a même été proposé en décembre 2018, la société ne pouvant se permettre de lui apprendre son métier. Les fautes graves invoquées postérieurement par M. C______ ne sont ainsi pas en étroite corrélation avec les motifs invoqués dans la lettre de licenciement, de sorte que la recourante ne peut se prévaloir, nonobstant le licenciement ordinaire prononcé, de la présence de justes motifs au sens de l’art. 337 CO. 8. a. A ce stade, la question peut se poser de savoir si la notion de « justes motifs », énoncée dans la décision d’octroi de l’AIT, doit être comprise par l’employeur comme étant limitée aux motifs justifiant un licenciement immédiat. Il en est de même du formulaire de demande d’AIT, même si celui-ci comprend, en plus, la référence à l’art. 337 CO. En effet, la notion de « justes motifs » n’est pas claire comme le serait celle de « licenciement avec effet immédiat pour justes motifs au sens de l’art. 337 CO », le licenciement immédiat étant une notion plus évidente à comprendre par l’employeur non familiarisé avec les termes juridiques, que celle de licenciement pour justes motifs. Cette question peut toutefois rester ouverte ; en l’espèce la recourante ayant admis qu’elle connaissait, au vu de la réponse donnée par le référent AIT, la conséquence d’un licenciement ordonné au cours de la mesure d’insertion, soit l’obligation de rembourser l’AIT. On ajoutera cependant que la recourante a indiqué qu’elle pensait néanmoins pouvoir obtenir l’annulation de la demande de remboursement. A cet égard, le référent AIT a évoqué, dans son courriel du 10 janvier 2019, de façon sibylline, la possibilité de contester l’obligation de restituer auprès du service juridique de l’OCE, en laissant entendre que la recourante, dans le cadre de cette procédure,</w:t>
      </w:r>
    </w:p>
    <w:p>
      <w:r>
        <w:t>A/1006/2020 - 12/14 - pourrait faire valoir des motifs valables de licenciement, qu’il jugeait cependant lui- même comme ne pouvant être dans le cas d’espèce des justes motifs (point 1 et 2 du courriel précité) ; par ailleurs, l’information donnée n’est pas complète dès lors qu’elle ne rappelle pas à la recourante (comme cela aurait pu être le cas dans un troisième point) qu’un licenciement prononcé plus de trois mois après la fin de la mesure n’entraine aucune obligation de rembourser les AIT. b. A cet égard,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w:t>
      </w:r>
    </w:p>
    <w:p>
      <w:r>
        <w:t>A/1006/2020 - 13/14 - information (ATF 131 V 472 consid. 5; arrêt du Tribunal fédéral 8C_601/2009 du 31 mai 2010 consid. 4.2). c. En l’occurrence, malgré l’information peu claire donnée par le référent AIT à la recourante, celle-ci a néanmoins été avertie d’une obligation de restituer l’AIT en cas de licenciement ordinaire et d’une contestation possible de celle-ci, dont l’issue dépendrait de l’avis du service juridique de l’intimé. On ne saurait, dans ces conditions, considérer que la recourante a reçu des assurances de la part de l’autorité quant au fait que ce service juridique annulerait la demande de remboursement des AIT. A cet égard, l’attention de l’intimé est néanmoins attirée sur le fait que les renseignements donnés par les référent-es AIT aux employeurs concernés, qui s’adressent précisément à eux afin de déterminer leurs possibilités concrètes d’action dans une situation donnée, se doivent d’être parfaitement clairs, alors qu’il a déjà été constaté que tel n’était pas le cas (à cet égard ATAS/272/2019 du 1er avril 2019) et que tel n’est pas le cas non plus en l’espèce, même si la recourante ne peut en tirer aucun droit. 9. La décision litigieuse ne peut ainsi qu’être confirmée. La recourante ayant fait valoir, dans ses écritures, sa difficulté à rembourser la somme réclamée ainsi que sa bonne foi, la cause sera transmise à l’intimé au titre de demande de remise. Il incombera à l’intimé d’examiner la bonne foi de la recourante en tenant compte du fait que l’AIT n’a été versée que le 20 juin 2019 par la Caisse cantonale genevoise de chômage, alors que la recourante avait clairement indiqué à celle-ci que l’employé avait été licencié en janvier 2019, soit pendant la mesure d’initiation.</w:t>
      </w:r>
    </w:p>
    <w:p>
      <w:r>
        <w:t>A/1006/2020 - 14/14 -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