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ATAS/646/2018 vom 17. Juli 2018</w:t>
      </w:r>
    </w:p>
    <w:p>
      <w:r>
        <w:t>GE Cour de justice, 2018-07-17, FR</w:t>
      </w:r>
    </w:p>
    <w:p>
      <w:r>
        <w:rPr>
          <w:b/>
        </w:rPr>
        <w:t xml:space="preserve">Quelle: </w:t>
      </w:r>
      <w:r>
        <w:t>https://mcp.opencaselaw.ch/entscheid/ge_gerichte_ATAS_646_2018</w:t>
      </w:r>
    </w:p>
    <w:p>
      <w:r>
        <w:t>FR: GE_GERICHTE ATAS/646/2018 du 17 juillet 2018</w:t>
      </w:r>
    </w:p>
    <w:p>
      <w:r>
        <w:t>IT: GE_GERICHTE ATAS/646/2018 del 17 luglio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le recours étant dirigé contre deux décisions sur opposition rendues en application de la LACI. Le recours a été interjeté en temps utile (art. 60 LPGA) tant contre l’une que contre l’autre des deux décisions attaquées, et il satisfait aux exigences, peu élevées, de forme et de contenu prescrites par la loi (art. 61 let. b LPGA ; cf. aussi art. 89B LPA). La recourante a qualité pour recourir, étant touchée par les décisions attaquées et ayant un intérêt digne de protection à leur annulation ou leur modification (art. 59 LPGA).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w:t>
      </w:r>
    </w:p>
    <w:p>
      <w:r>
        <w:t>A/94/2018 - 6/12 -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w:t>
      </w:r>
    </w:p>
    <w:p>
      <w:r>
        <w:t>A/94/2018 - 7/12 -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w:t>
      </w:r>
    </w:p>
    <w:p>
      <w:r>
        <w:t>A/94/2018 - 8/12 -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l’une ou l’autre de celles que la loi lui permet de retenir, ou lorsque, s’estimant liée, elle n’exerce pas le pouvoir d’appréciation que lui confère la loi (Stéphane GRODECKI / Romain JORDAN, op. cit. n. 767 s.). d. Selon l’art. 30 al. 2 LACI, l’autorité cantonale prononce les suspensions au sens de l'al. 1 (not. let. d). Dans d’autres cas, ce sont les caisses qui statuent.</w:t>
      </w:r>
    </w:p>
    <w:p>
      <w:r>
        <w:rPr>
          <w:b/>
        </w:rPr>
        <w:t>E. 3</w:t>
      </w:r>
    </w:p>
    <w:p>
      <w:r>
        <w:t>a. La première sanction attaquée a été prononcée en considération d’un nombre insuffisant de recherches personnelles d’emploi effectuées par la recourante en juillet 2017, à savoir cinq au lieu de six. Il n’est pas contestable qu’en lui-même, s’il doit être retenu, un tel manquement représenterait une inobservation des devoirs et prescriptions de contrôle prévus par l’art. 17 LACI, et qu’une telle violation exposerait la recourante à une sanction selon l’art. 30 al. 1 let. d LACI, sous la forme d’une suspension de son droit à l’indemnité de chômage. La recourante affirme cependant que, compte tenu des vacances qu’elle avait annoncées (c’est-à-dire des jours sans contrôle) à son ancien conseiller en personnel du 5 au 14 juillet 2017, celui-ci avait réduit à cinq (et non à six) le nombre de recherches personnelles d’emploi. Si cela était avéré, elle n’encourrait aucune sanction, dès lors qu’elle pourrait se prévaloir d’une assurance donnée, protégée par le principe de la bonne foi (art. 9 de la Constitution fédérale de la Confédération suisse du 18 avril 1999 - Cst. - RS 101), qui protège le citoyen dans la confiance légitime qu'il met dans les assurances reçues des autorités lorsqu'il a réglé sa conduite d'après des décisions, des déclarations ou un comportement déterminé de l'administration (ATF 129 I 161 consid. 4.1 p. 170 ; 128 II 112 consid. 10b/aa ; 126 II 377 consid. 3a et les arrêts cités ; ATAS/549/2017 précité consid. 5a). b.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w:t>
      </w:r>
    </w:p>
    <w:p>
      <w:r>
        <w:t>A/94/2018 - 9/12 -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c. Normalement, à teneur du plan d’actions qu’elle avait signé le 17 septembre 2016, la recourante devait effectuer dix recherches personnelles par mois. Compte tenu des jours sans contrôle qu’elle prenait en juillet 2017, ce nombre a été diminué par son conseiller en personnel. D’après ce que ce dernier a inscrit dans le système informatique utilisé par l’OCE, il a fixé ce nombre à six. On ne voit pas pourquoi il aurait enregistré le nombre de six, mais dit celui de cinq à la recourante. Sans doute est-il regrettable qu’il ne l’a pas fait figurer dans le procès-verbal dudit entretien de conseil (pièce 74 OCE, p. 3), sous la rubrique « RPE – entretiens d’embauche » (RPE signifiant « recherches personnelles d’emploi »), et qu’il ne l’a pas confirmé par écrit à la recourante, mais la législation pertinente (en particulier la LACI et l’OACI) ne prescrit pas l’utilisation de la forme écrite pour l’octroi d’une telle dérogation au plan d’actions, ni le Bulletin LACI IC, ni la LPGA (dont l’art. 49</w:t>
      </w:r>
    </w:p>
    <w:p>
      <w:r>
        <w:t>A/94/2018 - 10/12 - al. 1 prévoit la forme écrite pour les décisions qui portent notamment sur des injonctions importantes ou avec lesquelles l’intéressé n’est pas d’accord, conditions ici non réalisées). Il n’est en outre pas vraisemblable que pour des vacances de dix jours (soit du mercredi 5 au vendredi 14 juillet 2017) sur un mois de 31 jours, un conseiller en personnel réduise de moitié (et non d’un tiers) le nombre de recherches personnelles d’emploi à effectuer ; il était déjà généreux de réduire ledit nombre à six, plutôt qu’à sept. Une audition dudit conseiller en personnel plus d’une année après les faits n’apparaît pas propre à apporter la preuve que la recourante ne se trompe pas lorsqu’elle prétend que le nombre en question était de cinq (et non de six). La chambre de céans retient comme établi au degré de la vraisemblance prépondérante que ce sont bien six (et non cinq) recherches personnelles d’emploi qui ont été requises de la part de la recourante pour le mois de juillet 2017. d. Comme l’intimé l’a retenu, c’est une faute légère que la recourante a commise en effectuant cinq recherches personnelles d’emploi en juillet 2017, au lieu de six. La fixation à trois jours de la durée de la suspension du droit à l’indemnité de chômage échappe au grief d’excès ou d’abus du pouvoir d’appréciation et apparaît pleinement conforme aux exigences découlant du principe de la proportionnalité ; c’est le nombre minimal prévu par le barème établi par le SECO en cas de recherches insuffisantes pendant la période de contrôle, pour un premier manquement (Bulletin LACI IC, ch. D79, ad 1C.1). e. Le recours sera donc rejeté en tant qu’il est dirigé contre la première des deux sanctions attaquées.</w:t>
      </w:r>
    </w:p>
    <w:p>
      <w:r>
        <w:rPr>
          <w:b/>
        </w:rPr>
        <w:t>E. 4</w:t>
      </w:r>
    </w:p>
    <w:p>
      <w:r>
        <w:t>a. La seconde sanction prononcée l’a été en raison d’une absence à un entretien de conseil. b. Il n’est pas contesté que la recourante avait été dûment convoquée à l’entretien de conseil fixé au 15 septembre 2017 à 15h15, même si, par sa faute, elle l’avait mal noté dans son agenda électronique (comme elle l’a reconnu dans son courriel du 13 septembre 2017 à 17h17 à sa conseillère en personnel), ce dont elle a d’ailleurs dû se douter elle-même puisque, par courriel du 12 septembre 2017 à 17h30, elle lui a demandé à quelle date et quelle heure était fixé son prochain entretien de conseil. Il est par ailleurs dûment établi par la succession des courriels qui ont été échangés entre la recourante et sa conseillère en personnel du 12 au 15 septembre 2017, et est au demeurant admis par la recourante elle-même, que cette dernière n’a pas été dispensée de se présenter à l’entretien de conseil considéré l’après-midi du 15 septembre 2017 à 15h15, mais qu’au contraire sa conseillère en personnel a explicitement refusé le report de cet entretien et en a confirmé le maintien. La recourante n’a fait état d’aucun empêchement de se présenter à cet entretien de conseil, ni lorsqu’elle en a demandé le report, ni par la suite dans le cadre de la contestation de la sanction litigieuse. Sans doute l’entretien d’embauche considéré</w:t>
      </w:r>
    </w:p>
    <w:p>
      <w:r>
        <w:t>A/94/2018 - 11/12 - était-il important, d’autant plus qu’il s’agissait du troisième pour un emploi déterminé, mais ce rendez-vous était fixé au matin du 15 septembre 2017, alors que l’entretien de conseil considéré était fixé à l’après-midi du même jour, à 15h15. Il n’y avait pas de contrariété entre ces deux rendez-vous. La question n’est pas celle d’une primauté accordée à un entretien de conseil sur un entretien d’embauche, mais uniquement sur le suivi d’une mesure de marché du travail ; or, il n’est pas contestable que la recourante ne pouvait légitimement se soustraire à l’entretien de conseil parce qu’elle suivait un stage de requalification. C’est sciemment et sans motif valable que la recourante ne s’est pas présentée audit entretien de conseil. c. Il n’est pas douteux que, ce faisant, la recourante s’est rendue coupable d’une violation d’une obligation appelant le prononcé, à titre de sanction, d’une suspension de son droit à l’indemnité de chômage. Selon le barème du SECO, il s’agit d’une faute légère, pour laquelle, en cas de premier manquement de ce genre, une suspension de 5 à 8 jours doit être prononcée (Bulletin LACI IC, ch. D79, ad 3.1). Compte tenu de la désinvolture dont la recourante a fait montre, il n’y a nul abus ou excès de pouvoir d’appréciation, ni disproportion à avoir retenu en l’occurrence le nombre supérieur de cette fourchette de 5 à 8 jours, indépendamment du fait qu’une première sanction, avait été prononcée à l’encontre de la recourante cinq jours plus tôt, certes pour un autre motif, ce qui n’excluait pas qu’il y avait un antécédent justifiant en soi une prolongation de la durée de la suspension (art. 45 al. 5 OACI). C’est dire qu’une réduction de ce nombre de jours de suspension ne se justifie pas. d. Le recours doit également être rejeté en tant qu’il est dirigé contre la seconde des deux sanctions attaquées.</w:t>
      </w:r>
    </w:p>
    <w:p>
      <w:r>
        <w:rPr>
          <w:b/>
        </w:rPr>
        <w:t>E. 5</w:t>
      </w:r>
    </w:p>
    <w:p>
      <w:r>
        <w:t>Le recours est entièrement mal fondé. La procédure est gratuite (art. 61 let. a LPGA).</w:t>
      </w:r>
    </w:p>
    <w:p>
      <w:r>
        <w:t>* * * * * *</w:t>
      </w:r>
    </w:p>
    <w:p>
      <w:r>
        <w:t>A/94/2018 - 12/12 -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