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ATAS/646/2015 vom 27. August 2015</w:t>
      </w:r>
    </w:p>
    <w:p>
      <w:r>
        <w:t>GE Cour de justice, 2015-08-27, FR</w:t>
      </w:r>
    </w:p>
    <w:p>
      <w:r>
        <w:rPr>
          <w:b/>
        </w:rPr>
        <w:t xml:space="preserve">Quelle: </w:t>
      </w:r>
      <w:r>
        <w:t>https://mcp.opencaselaw.ch/entscheid/ge_gerichte_ATAS_646_2015</w:t>
      </w:r>
    </w:p>
    <w:p>
      <w:r>
        <w:t>FR: GE_GERICHTE ATAS/646/2015 du 27 août 2015</w:t>
      </w:r>
    </w:p>
    <w:p>
      <w:r>
        <w:t>IT: GE_GERICHTE ATAS/646/2015 del 27 agosto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_______________________________________________________________________________________________________</w:t>
      </w:r>
    </w:p>
    <w:p>
      <w:r>
        <w:t>A/3909/2013 - 12/23 - Selon l’art. 73 al. 3 LPP, le for est au siège ou domicile suisse du défendeur ou au lieu de l'exploitation dans laquelle l'assuré a été engagé. Le demandeur ayant travaillé dans le canton de Genève,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se sont déroulés postérieurement à son entrée en vigueur (ATF 130 V 445 consid. 1).</w:t>
      </w:r>
    </w:p>
    <w:p>
      <w:r>
        <w:rPr>
          <w:b/>
        </w:rPr>
        <w:t>E. 4</w:t>
      </w:r>
    </w:p>
    <w:p>
      <w:r>
        <w:t>Le litige porte sur le droit du demandeur à une rente entière d’invalidité, et, si ce droit devait lui être reconnu, sur la question de savoir laquelle des défenderesses serait tenue de la lui verser.</w:t>
      </w:r>
    </w:p>
    <w:p>
      <w:r>
        <w:rPr>
          <w:b/>
        </w:rPr>
        <w:t>E. 5</w:t>
      </w:r>
    </w:p>
    <w:p>
      <w:r>
        <w:t>Selon l’art. 23 let. a LPP, dans sa teneur en force depuis le 1er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trouvent aussi application en matière de prévoyance plus étendue, si le règlement de l'institution de prévoyance</w:t>
      </w:r>
    </w:p>
    <w:p>
      <w:r>
        <w:t>_______________________________________________________________________________________________________</w:t>
      </w:r>
    </w:p>
    <w:p>
      <w:r>
        <w:t>A/3909/2013 - 13/23 - ne prévoit rien d'autre (ATF 136 V 65 consid. 3.2 ; arrêt du Tribunal fédéral 9C_807/2013 du 30 avril 2014 consid. 3.3).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w:t>
      </w:r>
    </w:p>
    <w:p>
      <w:r>
        <w:rPr>
          <w:b/>
        </w:rPr>
        <w:t>E. 6</w:t>
      </w:r>
    </w:p>
    <w:p>
      <w:r>
        <w:t>Il y a connexité matérielle si l'affection à l'origine de l'invalidité est la même que celle qui s'est déjà manifestée durant le rapport de prévoyance et qui a entraîné une incapacité de travail (ATF 123 V 262 consid. 1c). L’atteinte à la santé responsable de la survenance de l’incapacité de travail initiale est à comparer au tableau clinique qui a conduit plus tard à l’attribution d’une rente d’invalidité (arrêt du Tribunal fédéral des assurances B 48/05 du 25 avril 2006 consid. 4). La question de savoir s’il existe un rapport de causalité entre la maladie à la base de l’incapacité de travail et l’atteinte qui a provoqué l’invalidité n’a pas d’importance (dans le cas d’espèce une coxarthrose et des troubles psychiques). Il s’agit plutôt de déterminer si on se trouve en présence d’une maladie d’un autre type et à caractère essentiellement différent (arrêt du Tribunal fédéral des assurances B 42/02 du</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w:t>
      </w:r>
    </w:p>
    <w:p>
      <w:r>
        <w:rPr>
          <w:b/>
        </w:rPr>
        <w:t>E. 12</w:t>
      </w:r>
    </w:p>
    <w:p>
      <w:r>
        <w:t>En l’espèce, bien que les défenderesses n’aient pas été associées à la procédure de l’OAI, elles ne nient pas que l’invalidité du demandeur est désormais totale ; elles ne contestent pas non plus la date retenue par l’OAI pour la survenance de l’aggravation de l’invalidité. L’appréciation de l’OAI sur ces points n’apparaît d’ailleurs pas manifestement erronée. Il n’existe de plus aucun élément médical qui justifierait que l’on s’en écarte. Partant, la chambre de céans s’en tiendra à la décision de l’OAI s’agissant du taux d’invalidité et de la naissance du droit à une rente entière.</w:t>
      </w:r>
    </w:p>
    <w:p>
      <w:r>
        <w:t>_______________________________________________________________________________________________________</w:t>
      </w:r>
    </w:p>
    <w:p>
      <w:r>
        <w:t>A/3909/2013 - 18/23 - Reste à déterminer si l’une des défenderesses doit répondre de l’aggravation de l’invalidité du demandeur. La défenderesse principale rappelle que les rapports de prévoyance la liant au demandeur se sont achevés au 31 octobre 2007, ce que l’intéressé ne conteste pas. Conformément à la jurisprudence et à la doctrine précitées, la responsabilité de la défenderesse principale devra être admise si l’incapacité de travail initiale et l’aggravation de l’invalidité survenue en mars 2011 sont imputables à la même pathologie, en d’autres termes s’il existe un rapport de connexité matérielle entre les motifs ayant conduit à la reconnaissance de l’invalidité partielle en 2006 puis totale en 2011. En 2006, l’OAI a octroyé au demandeur un quart de rente en raison de cervicobrachialgies et de lombosciatalgies, lesquelles restreignaient sa capacité de travail. Quant à l’aggravation de l’état de santé ayant conduit à l’augmentation de sa rente, il apparaît que l’OAI s’est fondé sur les troubles psychiques du demandeur, comme cela ressort de l’avis du Dr J______ du 17 janvier 2013. On peut se demander si l’insuffisance artérielle et les limitations fonctionnelles qu’elle génère ne seraient pas également de nature à restreindre la capacité de travail du demandeur, et ce malgré l’absence au dossier de l’OAI de certificats attestant d’une incapacité de travail en raison de cette pathologie. Cette question peut cependant rester ouverte s’agissant de la responsabilité de la défenderesse principale. En effet, il est incontestable que la diminution de la capacité de travail du demandeur durant les rapports de prévoyance, soit jusqu’au 31 octobre 2007, était imputable à ses seuls problèmes de rachis. S’il est vrai que la Dresse C______ signalait en août 2007 déjà - alors que le demandeur était encore affilié auprès de la défenderesse principale - une insuffisance artérielle des membres inférieurs, elle n’a cependant décrit aucune incapacité de travail en lien avec cette nouvelle atteinte. Le CIP n’a pas non plus relevé de limitation en lien avec ce trouble à l’issue du stage réalisé par le demandeur en octobre 2007. Le 1er novembre 2007, soit après la fin des rapports de prévoyance, les seules limitations décrites par le médecin traitant du demandeur étaient liées aux problèmes dorsaux, et non à la claudication ou aux douleurs des membres inférieurs apparus par la suite, ce que cette praticienne a encore confirmé dans son rapport du 19 mars 2008. L’insuffisance artérielle des membres inférieurs n’a d’ailleurs pas eu d’incidence sur la capacité de travail jusqu’en avril 2010, si l’on se réfère au rapport rédigé à cette date par la Dresse C______, dans lequel elle qualifie l’état de santé du demandeur de stationnaire, malgré ce diagnostic. En ce qui concerne les troubles de nature psychique, force est également de constater qu’aucun médecin n’en a fait état durant l’affiliation auprès de la défenderesse principale. La première mention d’un état dépressif remonte en effet au rapport établi par la Dresse C______ en mars 2008, qui n’a alors pas noté d’incapacité de travail en lien avec cette atteinte. L’apparition de ces troubles et a</w:t>
      </w:r>
    </w:p>
    <w:p>
      <w:r>
        <w:t>_______________________________________________________________________________________________________</w:t>
      </w:r>
    </w:p>
    <w:p>
      <w:r>
        <w:t>A/3909/2013 - 19/23 - fortiori l’incapacité de travail qu’ils ont entraînée sont donc postérieures à la fin des rapports de prévoyance. La formulation utilisée par le psychiatre traitant du demandeur ne permet pas de parvenir à une autre appréciation. Il est vrai que le psychiatre a fait état d’un lien de cause à effet entre l’état physique et psychique de son patient dans un rapport du 10 janvier 2012. Toutefois, même s’il fallait admettre que les troubles psychiques ont été causés par les souffrances physiques du demandeur, il ne s’agit pas là d’un élément suffisant pour admettre une connexité matérielle entre ces deux pathologies en l’absence d’incapacité de travail d’origine psychique durant les rapports de prévoyance, conformément à la doctrine et à la jurisprudence exposées ci-dessus. En l’espèce, l’incapacité de travail résultant des problèmes psychiques est attestée depuis mars 2011 seulement. Enfin, on ne peut suivre le demandeur lorsqu’il affirme que c’est l’intensification des problèmes somatiques à l’origine de l’allocation du quart de rente qui a conduit à l’octroi d’une rente entière. En effet, aucun élément médical au dossier de l’OAI ne permet de conclure à une aggravation des cervicobrachialgies et des lombosciatalgies présentes en 2006, dont la persistance a justifié l’octroi d’un quart de rente. Le neurochirurgien des HUG consulté par le demandeur en 2011 n’a pas signalé de nouveau diagnostic au plan lombaire, ni même d’aggravation des atteintes existantes. Il a de plus exclu un lien entre les problèmes de dos du demandeur et ses douleurs aux membres inférieurs. Le Dr I______ est parvenu aux mêmes conclusions dans son rapport du 25 mai 2012 et n’a pas non plus fait état d’une aggravation des douleurs lombaires et cervicales du demandeur. On ne peut ainsi considérer que les atteintes somatiques signalées par les médecins dès 2010 (notamment les douleurs aux jambes) relèveraient d’une aggravation des pathologies préexistantes en 2006. Par surabondance, leur incidence sur la capacité de travail n’est pas clairement attestée. Compte tenu des éléments qui précèdent, il n’est pas établi au degré de la vraisemblance prépondérante requis que l’aggravation de l’état de santé du demandeur en mars 2011 est imputable à une cause médicale ayant déjà influencé sa capacité de travail durant les rapports d’assurance avec la défenderesse principale. Cela suffit à exclure la responsabilité de cette dernière, de sorte que les conclusions prises à son encontre par le demandeur doivent être rejetées. Partant, la chambre de céans ne fera pas droit à la requête du demandeur tendant à l’audition des Drs C______ et D______. En effet, si la garantie constitutionnelle du droit d'être entendu confère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w:t>
      </w:r>
    </w:p>
    <w:p>
      <w:r>
        <w:t>_______________________________________________________________________________________________________</w:t>
      </w:r>
    </w:p>
    <w:p>
      <w:r>
        <w:t>A/3909/2013 - 20/23 - ATSG-Kommentar: Kommentar zum Bundesgesetz über den Allgemeinen Teil des Sozialversicherungsrechts vom 6. Oktober 2000, 2ème éd., Zurich 2009, n. 72 ad art. 61). En l’espèce, les rapports médicaux du dossier de l’OAI suffisent à statuer sur le lien de connexité matérielle, si bien que la mesure d’instruction proposée par le demandeur s’avère superflue.</w:t>
      </w:r>
    </w:p>
    <w:p>
      <w:r>
        <w:rPr>
          <w:b/>
        </w:rPr>
        <w:t>E. 13</w:t>
      </w:r>
    </w:p>
    <w:p>
      <w:r>
        <w:t>Reste à déterminer si le demandeur a droit à une rente de la part de la défenderesse subsidiaire, à laquelle il a été affilié pour la prévoyance professionnelle durant son chômage, soit notamment du 25 novembre 2010 au 19 avril 2011. Au moment de la survenance de l’incapacité de travail ayant conduit à la reconnaissance d’une aggravation par l’OAI, c'est-à-dire en mars 2011, le demandeur était donc assuré auprès de la défenderesse subsidiaire. Le lien de connexité temporelle est ainsi réalisé. La connexité matérielle doit également être admise, puisque l’incapacité de travail n’est pas liée aux affections préexistantes dont répond la défenderesse principale. Partant, la responsabilité de la défenderesse subsidiaire est engagée s’agissant de l’aggravation de l’invalidité du demandeur. Conformément à l’art. 26 al. 1 LPP, le droit aux prestations de prévoyance de la défenderesse subsidiaire prend effet à la date fixée par l’OAI, soit dès le 1er novembre 2011. Le demandeur conclut à l’octroi d’une rente entière. On peut se demander si la défenderesse subsidiaire n’est pas tenue de lui verser uniquement un complément de trois quarts de rente, dès lors qu’il perçoit d’ores et déjà un quart de rente de la défenderesse principale. Tel n’est cependant pas le cas. Il convient sur ce point de rappeler que les personnes invalides au sens de l’AI à moins de 70% restent soumises à la LPP (art. 1j al. 1 let. d OPP 2 a contrario). Des aménagements sont certes prévus pour la prévoyance professionnelle des personnes partiellement invalides, sous forme de réduction des montants-limites fixés aux art. 2, 7, 8 al. 1 et 46 LPP, comme cela ressort de l’art. 4 OPP 2. Cette disposition a pour but de permettre lors du changement de poste d’une personne partiellement incapable de gain et du nouveau rapport de prévoyance qui en découle – dans le cadre de la capacité de gain résiduelle – que le salaire assurable le plus haut possible et le but de prévoyance poursuivi soient préservés, au cas où l’invalidité s’aggraverait par la suite en raison d’une nouvelle pathologie (Markus MOSER, Teilzeitarbeitsbedingte Anwendungsprobleme im Leistungsbereich der beruflichen Vorsorge in PJA 2001 p. 1181). Ainsi, dans les limites légales et réglementaires, le revenu des assurés invalides à moins de 70% au sens de l’assurance-invalidité est assuré dans son intégralité, et non uniquement à raison de la fraction complétant le degré d’invalidité qui leur est d’ores et déjà reconnu. De plus, il faut rappeler que l’invalidité est une notion économique et non médicale, où sont prises en compte les répercussions de l'atteinte à la santé sur la capacité de gain (arrêt du Tribunal fédéral des assurances I 15/06 du 21 décembre 2006 consid. 2.2). Partant, lorsqu’un assuré déjà au bénéfice d’une rente partielle de l’assurance-invalidité a repris un emploi adapté et voit sa capacité de travail dans cette nouvelle activité et sa</w:t>
      </w:r>
    </w:p>
    <w:p>
      <w:r>
        <w:t>_______________________________________________________________________________________________________</w:t>
      </w:r>
    </w:p>
    <w:p>
      <w:r>
        <w:t>A/3909/2013 - 21/23 - capacité de gain résiduelle réduites à néant du fait d’une nouvelle atteinte à la santé, il subit une invalidité totale dans le cadre de ce rapport de travail et de prévoyance. Cela justifie l’octroi d’une rente entière de la nouvelle institution de prévoyance. Ainsi, la fraction de rente que doit l’institution de prévoyance – dans le cadre des prestations légales minimales – ne doit pas systématiquement correspondre à celle reconnue par l’OAI. A titre d’exemple, s’agissant d’une assurée ayant exercé deux activités à 50% soumises à la prévoyance professionnelle, devenue invalide à 50% et ayant de ce fait abandonné l’un de ses emplois, le Tribunal fédéral a considéré que la caisse de prévoyance de l'employeur restant n'était pas tenue à prestations, alors que l'autre institution devait allouer une rente entière (ATF 129 V 132 consid. 4.3.3 et 4.4). De même, il a jugé que lorsqu’un assuré exerçant deux emplois à temps partiel devient totalement invalide, les deux institutions de prévoyance sont tenues de prester et doivent chacune verser une rente entière dans le cadre du rapport de prévoyance assuré (Hans-Ulrich STAUFFER, Berufliche Vorsorge, 2ème éd. 2012, n. 915 p. 334). Partant, c’est bien une rente entière que doit verser la défenderesse subsidiaire.</w:t>
      </w:r>
    </w:p>
    <w:p>
      <w:r>
        <w:rPr>
          <w:b/>
        </w:rPr>
        <w:t>E. 14</w:t>
      </w:r>
    </w:p>
    <w:p>
      <w:r>
        <w:t>S’agissant du montant des rentes à servir, le demandeur n'a pas émis de conclusions chiffrées. Son action tend principalement à ce que la chambre de céans détermine quelle institution de prévoyance est tenue de lui verser une rente d’invalidité, dont la quotité n’est pas litigieuse à ce stade de la procédure. Les défenderesses n’ont pas articulé les montants exacts des rentes qu’elles pourraient être appelées à servir. La chambre de céans ne dispose ainsi pas de tous les documents permettant de calculer le montant de la rente. Dans ces conditions, un renvoi à cette fin à la défenderesse subsidiaire respecte les principes de simplicité et d'économie de procédure ancrés à l'art. 73 al. 2 LPP (ATF 129 V 450 consid. 3.4). Le demandeur a conclu au versement d’intérêts moratoires sur les rentes dues. En matière de rentes de prévoyance professionnelle, il convient selon la jurisprudence d’appliquer l’art. 105 al. 1 du code des obligations (CO – RS 220). Selon cette disposition, le débiteur en demeure pour le paiement d'intérêts, d'arrérages ou d'une somme dont il a fait donation, ne doit l'intérêt moratoire qu'à partir du jour de la poursuite ou de la demande en justice (ATF 119 V 131 consid. 4c). Le taux de l’intérêt est fixé à 5% l’an en l’absence de dispositions statutaires de l’institution de prévoyance sur ce point (arrêt du Tribunal fédéral des assurances B 25/04 du 26 janvier 2006 consid. 4.4). La défenderesse subsidiaire a produit un extrait de son règlement en vigueur le 1er janvier 2013, dont l’art. 34 prévoit que si la [défenderesse subsidiaire] est en retard dans la fourniture des prestations de prévoyance, l’intérêt moratoire correspond au taux LPP. La chambre de céans relève que les règlements de la défenderesse subsidiaire précédemment en vigueur ne contenaient aucune</w:t>
      </w:r>
    </w:p>
    <w:p>
      <w:r>
        <w:t>_______________________________________________________________________________________________________</w:t>
      </w:r>
    </w:p>
    <w:p>
      <w:r>
        <w:t>A/3909/2013 - 22/23 - disposition sur le taux de l’intérêt moratoire. Cependant,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137 V 105 consid. 5.3.1, ATF 126 V 163 consid. 4b). En l’espèce, eu égard au fait que la demande en justice a été déposée en 2013, c’est bien le règlement en force dès le 1er janvier de cette année qui s’applique. Le taux des intérêts moratoires est ainsi celui qui est prévu dans la loi. Selon l’art. 15 al. 2 1ère phrase LPP, le Conseil fédéral fixe le taux d'intérêt minimal. Il a fait usage de cette délégation de compétence à l’art. 12 OPP 2, qui prévoit que l'avoir de vieillesse sera crédité d'un intérêt pour la période à partir du 1er janvier 2012 jusqu'au 31 décembre 2013 : d'au moins 1,5 % (let. g); pour la période à partir du 1er janvier 2014 : d'au moins 1,75 % (let. h).</w:t>
      </w:r>
    </w:p>
    <w:p>
      <w:r>
        <w:rPr>
          <w:b/>
        </w:rPr>
        <w:t>E. 15</w:t>
      </w:r>
    </w:p>
    <w:p>
      <w:r>
        <w:t>Eu égard à ce qui précède, la demande est partiellement admise en tant qu’elle concerne la défenderesse subsidiaire. Cette dernière devra verser au demandeur une indemnité de dépens de CHF 2'500.-. La défenderesse principale a conclu à l’allocation de dépens. Or,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 Pour le surplus, la procédure est gratuite (art. 73 al. 2 LPP).</w:t>
      </w:r>
    </w:p>
    <w:p>
      <w:r>
        <w:t>_______________________________________________________________________________________________________</w:t>
      </w:r>
    </w:p>
    <w:p>
      <w:r>
        <w:t>A/3909/2013 - 23/23 -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