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ATAS/646/2008 vom 22. Mai 2008</w:t>
      </w:r>
    </w:p>
    <w:p>
      <w:r>
        <w:t>GE Cour de justice, 2008-05-22, FR</w:t>
      </w:r>
    </w:p>
    <w:p>
      <w:r>
        <w:rPr>
          <w:b/>
        </w:rPr>
        <w:t xml:space="preserve">Quelle: </w:t>
      </w:r>
      <w:r>
        <w:t>https://mcp.opencaselaw.ch/entscheid/ge_gerichte_ATAS_646_2008</w:t>
      </w:r>
    </w:p>
    <w:p>
      <w:r>
        <w:t>FR: GE_GERICHTE ATAS/646/2008 du 22 mai 2008</w:t>
      </w:r>
    </w:p>
    <w:p>
      <w:r>
        <w:t>IT: GE_GERICHTE ATAS/646/2008 del 22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Interjeté dans les forme et délai légaux (art. 56 à 60 LPGA), le recours est recevable.</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18 octobre 2006,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b) Enfin, la loi fédérale du 16 décembre 2005 modifiant la LAI est entrée en vigueur le 1er juillet 2006 (RO 2006 2003), apportant des modifications qui concernent notamment la procédure conduite devant le Tribunal cantonal des</w:t>
      </w:r>
    </w:p>
    <w:p>
      <w:r>
        <w:t>A/4347/2006 - 15/21 -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Le litige porte sur le droit de la recourante à des prestations de l’assurance- invalidité, sous la forme d’une rente, singulièrement sur la question de savoir si elle présente ou non une atteinte à sa santé invalidante au sens de la loi.</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w:t>
      </w:r>
    </w:p>
    <w:p>
      <w:r>
        <w:t>A/4347/2006 - 16/21 -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w:t>
      </w:r>
    </w:p>
    <w:p>
      <w:r>
        <w:t>A/4347/2006 - 17/21 -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rPr>
          <w:b/>
        </w:rPr>
        <w:t>E. 7</w:t>
      </w:r>
    </w:p>
    <w:p>
      <w:r>
        <w:t>a) De nombreux rapports médicaux figurent au dossier. L’intimé a fondé son appréciation des troubles présentés par la recourante – de nature psychiatrique exclusivement, ce qui n’est nullement contesté – principalement sur les conclusions du rapport rédigé par la doctoresse E_________. Or, il apparaît ledit rapport médical, du 18 août 2006, a été rendu par un médecin qui s'est prévalu d'un titre auquel il ne pouvait prétendre en vertu de la législation fédérale et ne disposait par ailleurs pas de l'autorisation de pratiquer prévue par le droit cantonal. Ces irrégularités d'ordre formel liées à la personne du médecin examinateur et à l'exercice de son activité au sein du SMR entachent la fiabilité du rapport médical établi sur mandat de l'administration (cf. arrêt du Tribunal fédéral du 31 août 2007, I 65/07, notamment). Dès lors, on ne peut accorder une pleine valeur probante à l'appréciation médicale du 18 août 2006 ni, partant, en tirer des conclusions absolues sur l'état de santé de la recourante. Aussi, le Tribunal de céans ne saurait apprécier le caractère invalidant des troubles présentés par l’intéressée sur ce seul avis médical d'une valeur probante affaiblie. Il en va de même des avis subséquents de la doctoresse E_________ qui, au demeurant, ne sont que fort succincts et se limitent pour l’essentiel à affirmer qu’il n’y a rien à ajouter aux considérations contenues dans le rapport initial. b) Le rapport de la doctoresse E_________ est largement inspiré, quoi qu’en dise l’intimé, de celui du docteur L__________. En effet, non seulement les conclusions en sont identiques (ce qui en soi, il est vrai, n’est pas significatif), mais nombre de remarques se retrouvent textuellement dans chacun des deux rapports. Le SMR, dans ses multiples prises de position, justifie la valeur des conclusions prises par son examinatrice par le fait qu’elles sont corroborées par les conclusions du docteur L__________. Il y a dès lors lieu d’examiner également la valeur probante de l’avis rendu par ce dernier. Tout d’abord, le Tribunal constate que le rapport du docteur L__________ est émaillé, dans sa partie consacrée à l’anamnèse, de jugements de valeur et</w:t>
      </w:r>
    </w:p>
    <w:p>
      <w:r>
        <w:t>A/4347/2006 - 18/21 - d’appréciations propres à l’expert, alors qu’il devrait au contraire ne contenir que les constatations objectives de l'expert et les dires de l’assuré, sans parti pris. Par ailleurs, le rapport comporte de nombreuses contradictions (pour n’en citer qu’une : l’assurée ne fait pas preuve, selon l’expert, de comportement inadéquat, mais se comporte de manière inadéquate envers lui ; p. 13). Le médecin, qui semble apporter une importance extrêmement significative à une prétendue consommation d’alcool chez une assurée qui déclare ne pas en consommer, tire des conclusions et émet des propositions relatives à une problématique qu’il n’a même pas jugé utile de vérifier (ne serait-ce que par le biais d’analyses). A ce dernier propos, force est de constater que la qualification de menteuse attribuée à l’expertisée repose en partie, ainsi que les diagnostics formulés, sur des résultats d’analyses sanguines (dosage des taux plasmatiques des médicaments prescrits). Or, si ces taux sont nuls pour certains principes actifs, cela est justifié par le fait que l’intéressée ne prend pas (ou plus) tel type de médicament. Les résultats démontrent par contre que l’intéressée prend son anti-dépresseur (Fluctine) et a interrompu la prise de neuroleptique (interruption suite à un malaise dû à une intolérance au médicament). Quant à la seconde partie des résultats obtenus, elle n’est pas relatée dans le rapport, pas plus que les avis des médecins contactés et ayant manifesté leur désaccord avec les conclusions de l’expert. De même, bien des constatations de ce dernier sont clairement contredites par plusieurs avis médicaux antérieurs ou ultérieurs ; on citera en particulier la mention selon laquelle l’expert se serait entretenu avec le médecin traitant de l’intéressée (le docteur M__________), ce que ce dernier nie formellement. Les propos relatés dans le complément d’expertise du 5 novembre 2003 et attribués au docteur N__________, médecin du CTB, ne correspondent nullement avec le rapport co-signé par ce dernier en date du 28 novembre 2003. Enfin, les conclusions auxquelles arrive l’expert ne sont pas convaincantes : dans un premier temps, il estime que l’assurée présente un trouble somatoforme indifférencié (diagnostic d’exclusion) ainsi que des exagérations symptomatiques pour des motifs non médicaux ; l’intéressée ment et simule; dans un deuxième temps, en raison de l’hospitalisation au CTB, l'expert admet une prolongation de l’arrêt de travail (initialement reconnu pour des motifs non psychiatriques – PSH de l’épaule) justifiée par la nécessité d’apporter des soins à la patiente, le tableau clinique qu’elle présente et les délais indispensables au rétablissement. Ce faisant, il revient sur ses conclusions : une simulation de maladie ne justifie pas de traitement et encore moins de rétablissement. Appelé à se prononcer à nouveau, le docteur L__________ confirme ses conclusions initiales sur la base d’un test de personnalité (qui ne constitue pas une expertise au sens où l’entend la jurisprudence), dont il est semble-t-il possible que les résultats soient influencés par les motivations de l’expert lui-même entre autres (cf. avis de la doctoresse R__________), mais mentionne tout de même que l’intéressée répond à la fois à certaines définitions des troubles borderline et de la dépression.</w:t>
      </w:r>
    </w:p>
    <w:p>
      <w:r>
        <w:t>A/4347/2006 - 19/21 - Pareille constellation ne permet en aucun cas d’accorder une quelconque valeur aux conclusions et considérations des rapports du docteur L__________, ce d’autant moins que le Tribunal de céans, dans son arrêt du 31 août 2005 (ATAS/737/2005), avait déjà critiqué les avis de ce médecin, constatant qu’ils étaient suffisamment contredits par les autres pièces médicales pour qu’il n’en soit pas tenu compte.</w:t>
      </w:r>
    </w:p>
    <w:p>
      <w:r>
        <w:rPr>
          <w:b/>
        </w:rPr>
        <w:t>E. 8</w:t>
      </w:r>
    </w:p>
    <w:p>
      <w:r>
        <w:t>L’ensemble de la documentation médicale – fort abondante en l’occurrence – permet toutefois au Tribunal de céans de conclure à l’incapacité totale de travailler de la recourante sans qu'il soit utile de procéder à une expertise supplémentaire. En effet, les différents médecins s’accordent à dire que l’intéressée présente, au premier plan, un trouble de la personnalité émotionnelle de type borderline, ainsi qu’un trouble dépressif récurrent dont la gravité varie dans le temps. Un trouble du registre de la somatisation (dénommé tantôt trouble somatoforme douloureux, tantôt fibromyalgie) est également mentionné, mais n’est apparu que postérieurement aux autres diagnostics. Il ne fait nul doute qu’à lui seul, le diagnostic de trouble de la personnalité constitue bien plus qu’un simple obstacle partiel à la réinsertion professionnelle de la recourante. Il s’agit au contraire d’une pathologie qualifiée de grave par plusieurs spécialistes et, à la différence de ce que soutient le SMR, sa décompensation n’est pas seulement sporadique, mais présente bien plutôt un caractère de chronicité et de rigidité en faisant une véritable maladie psychique à caractère invalidant, au contraire de simples traits de personnalité. Les multiples hospitalisations (volontaires ou forcées) de l’assurée démontrent, si besoin est, la sévérité du trouble dont elle est atteinte. A ce propos, il est patent que la symptomatologie persiste, comme l’établissent les nouveaux internements subis par l’assurée après que la décision litigieuse a été rendue. On ne saurait en effet trouver des motifs objectifs autres qu’un état de santé sévèrement perturbé pour justifier les hospitalisations répétées – et parfois de durée relativement importante (jusqu’à deux mois), quoi qu'en dise le SMR – de l’intéressée. Même le docteur Q__________, qui pensait à une reprise de travail dans les quatre à six mois en 2003, émettait pourtant un pronostic très réservé. Vu le nombre de médecins spécialistes qui ont eu à se prononcer sur le cas de la recourante et leur unanimité relative tant aux diagnostics posés qu’à leurs conséquences sur la capacité de travail, ainsi que les nombreux rapports fort complets et clairement motivés de la psychiatre traitante, il convient de retenir que la recourante présente, depuis le début de son arrêt de travail, une incapacité de travail totale et de longue durée. Le seul avis dissident de la doctoresse K_________ ne saurait se voir accorder un quelconque crédit. D'une part, il n’est en effet pas de la compétence d’un médecin, même titulaire d’un brevet fédéral de spécialiste en assurances sociales, de se prononcer sur la valeur probante de rapports médicaux, cette question ressortant au domaine juridique. D’autre part, n’étant au bénéfice d’aucune spécialisation</w:t>
      </w:r>
    </w:p>
    <w:p>
      <w:r>
        <w:t>A/4347/2006 - 20/21 - médicale, la doctoresse K_________ ne possède pas les qualifications professionnelles lui permettant de contester les considérations (motivées) d’un spécialiste en psychiatrie, fût-il le médecin traitant, et encore moins de conclure que ce dernier confond les registres des troubles au terme d’une discussion doctrinale au demeurant non étayée par des références ad hoc et parfois peu compréhensible. Enfin, le ton employé par la doctoresse K_________ est pour le moins déplacé dans le cadre d’un rapport de médecin d’assurance, sensé être rédigé de façon objective et neutre.</w:t>
      </w:r>
    </w:p>
    <w:p>
      <w:r>
        <w:rPr>
          <w:b/>
        </w:rPr>
        <w:t>E. 9</w:t>
      </w:r>
    </w:p>
    <w:p>
      <w:r>
        <w:t>Il suit de tout ce qui précède que la recourante, totalement incapable de mettre à profit une quelconque capacité de travail résiduelle, doit être mise au bénéfice d’une rente entière de l’assurance-invalidité (taux de 100 %), à compter du 1er juin 2004 (échéance du délai de carence ; art. 29 al. 1 LAI dans sa teneur en vigueur jusqu’au 31 décembre 2007).</w:t>
      </w:r>
    </w:p>
    <w:p>
      <w:r>
        <w:rPr>
          <w:b/>
        </w:rPr>
        <w:t>E. 10</w:t>
      </w:r>
    </w:p>
    <w:p>
      <w:r>
        <w:t>L’intimé, qui succombe, supportera les frais de justice fixés en l’espèce à 1'000 fr. Il versera en outre une indemnité à titre de dépens à son adverse partie de 2'500 fr., vu le nombre des actes de procédure.</w:t>
      </w:r>
    </w:p>
    <w:p>
      <w:r>
        <w:t>A/4347/2006 - 21/21 -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