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ATAS/645/2025 vom 1. September 2025</w:t>
      </w:r>
    </w:p>
    <w:p>
      <w:r>
        <w:t>GE Cour de justice, 2025-09-01, FR</w:t>
      </w:r>
    </w:p>
    <w:p>
      <w:r>
        <w:rPr>
          <w:b/>
        </w:rPr>
        <w:t xml:space="preserve">Quelle: </w:t>
      </w:r>
      <w:r>
        <w:t>https://mcp.opencaselaw.ch/entscheid/ge_gerichte_ATAS_645_2025</w:t>
      </w:r>
    </w:p>
    <w:p>
      <w:r>
        <w:t>FR: GE_GERICHTE ATAS/645/2025 du 1 septembre 2025</w:t>
      </w:r>
    </w:p>
    <w:p>
      <w:r>
        <w:t>IT: GE_GERICHTE ATAS/645/2025 del 1 settembre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Sa compétence pour juger du cas d’espèce est ainsi établie.</w:t>
      </w:r>
    </w:p>
    <w:p>
      <w:r>
        <w:rPr>
          <w:b/>
        </w:rPr>
        <w:t>E. 1.2</w:t>
      </w:r>
    </w:p>
    <w:p>
      <w:r>
        <w:t>À teneur de l'art. 1 al. 1 LAA, les dispositions de la LPGA s'appliquent à l'assurance-accidents, à moins que la loi n'y déroge expressément.</w:t>
      </w:r>
    </w:p>
    <w:p>
      <w:r>
        <w:rPr>
          <w:b/>
        </w:rPr>
        <w:t>E. 1.3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1.4</w:t>
      </w:r>
    </w:p>
    <w:p>
      <w:r>
        <w:t>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 arrêt du Tribunal fédéral 8C_662/2016 du 23 mai 2017 consid. 2.2). Les dispositions</w:t>
      </w:r>
    </w:p>
    <w:p>
      <w:r>
        <w:t>A/768/2023 - 22/37 - légales seront citées ci-après dans leur teneur en vigueur jusqu'au 31 décembre 2016.</w:t>
      </w:r>
    </w:p>
    <w:p>
      <w:r>
        <w:rPr>
          <w:b/>
        </w:rPr>
        <w:t>E. 1.5</w:t>
      </w:r>
    </w:p>
    <w:p>
      <w:r>
        <w:t>Le délai de recours est de 30 jours (art. 56 LPGA ; art. 62 al. 1 de la loi sur la procédure administrative du 12 septembre 1985 [LPA - E 5 10]). Interjeté dans la forme et le délai prévus par la loi, le recours est recevable.</w:t>
      </w:r>
    </w:p>
    <w:p>
      <w:r>
        <w:rPr>
          <w:b/>
        </w:rPr>
        <w:t>E. 2</w:t>
      </w:r>
    </w:p>
    <w:p>
      <w:r>
        <w:t>Le litige porte sur le taux d'invalidité de la recourante et le montant de l'IPAI qui lui a été accordée, ainsi que sur la prise en charge des traitements ultérieurs concernant le membre supérieur droit et les cervicalgies.</w:t>
      </w:r>
    </w:p>
    <w:p>
      <w:r>
        <w:rPr>
          <w:b/>
        </w:rPr>
        <w:t>E. 2.2</w:t>
      </w:r>
    </w:p>
    <w:p>
      <w:r>
        <w:t>; 138 I 1 consid. 2.2 ; arrêt du Tribunal fédéral 4A_645/2024 du 10 mars 2025 consid. 3.1). L'appréciation des circonstances ne peut pas reposer sur les seules impressions de l'expertisé, la méfiance à l'égard de l'expert devant au contraire apparaître comme fondée sur des éléments objectifs (ATF 148 V 225 consid. 3.4</w:t>
      </w:r>
    </w:p>
    <w:p>
      <w:r>
        <w:t>A/768/2023 - 32/37 - et les références ; arrêt du Tribunal fédéral 8C_358/2022 du 12 avril 2023 consid. 4.2.3 et 4.2.4). D'après la jurisprudence, une faute de procédure - voire une fausse application du droit matériel - ne suffit pas à elle seule pour donner une apparence de prévention. Il n'en va autrement que si le membre d'une autorité administrative ou judiciaire a commis des erreurs grossières ou répétées constituant une grave violation des devoirs de sa charge. Une personne qui exerce la puissance publique est nécessairement amenée à devoir trancher des questions controversées ou des questions qui dépendent largement de son appréciation. Même si elle prend dans l'exercice normale de sa charge une décision qui se révèle erronée, il n'y a pas lieu de redouter une attitude partiale de sa part à l'avenir. Par ailleurs, la procédure de récusation ne saurait être utilisée pour faire corriger des fautes - formelles ou matérielles - prétendument commises par une personne détentrice de la puissance publique; de tels griefs doivent être soulevés dans le cadre du recours portant sur le fond de l'affaire (ATF 115 Ia 400 consid. 3b et les références ; arrêt du Tribunal fédéral 2C_110/2019 du 9 décembre 2019 consid. 5.2). L'ATF 132 V 93 concerne notamment la question de la récusation d'un expert dans le domaine de l'assurance-invalidité. Il en ressort qu'en matière de récusation, il convient de distinguer entre les motifs formels et les motifs matériels. Les motifs de récusation qui sont énoncés dans la loi (cf. art. 10 al. 1 PA [RS 172.021] et 36 al. 1 LPGA) sont de nature formelle parce qu'ils sont propres à éveiller la méfiance à l'égard de l'impartialité de l'expert. Les motifs de nature matérielle, qui peuvent également être dirigés contre la personne de l'expert, ne mettent en revanche pas en cause son impartialité. De tels motifs doivent en principe être examinés avec la décision sur le fond dans le cadre de l'appréciation des preuves. Il en va ainsi, entre autres exemples, d'un prétendu manque de compétence de l'expert, lequel ne saurait constituer comme tel un motif de défiance quant à l'impartialité de ce dernier (ATF 132 V 93 consid. 6.5 ; arrêt du Tribunal fédéral 8C_358/2022 du 12 avril 2023).</w:t>
      </w:r>
    </w:p>
    <w:p>
      <w:r>
        <w:rPr>
          <w:b/>
        </w:rPr>
        <w:t>E. 3</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122 V 230 consid. 1 et les références).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Ainsi, l’assureur-accidents doit également prendre en charge les suites indirectes d’un accident (RAMA 2003 n. U 487 p. 337 consid. 5.2.2 ; arrêts du Tribunal fédéral 8C_684/2008 du 5 janvier 2009 consid. 5.1 et 8C_444/2008 du 23 décembre 2008 consid. 5 ; ATAS/848/2013 du 2 septembre 2013 consid. 5b/aa).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w:t>
      </w:r>
    </w:p>
    <w:p>
      <w:r>
        <w:t>A/768/2023 - 23/37 -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En cas de nouvelles atteintes touchant une partie du corps qui n’a pas été lésée initialement par un accident, la causalité naturelle ne saurait être niée sans avoir examiné si lesdites atteintes résultent d’une sursollicitation due à l’empêchement d’utiliser un membre lésé, étant rappelé que l'obligation de prester de l'assureur- accident existe également lorsque l'accident n'est qu'une cause partielle de l'atteinte à la santé, sans qu’il soit nécessaire qu’il ait entraîné directement une atteinte structurelle au membre lésé (cf. arrêt du Tribunal fédéral 8C_302/2023 du 16 novembre 2023 consid. 6.4.1 et 6.4.2 et les références).</w:t>
      </w:r>
    </w:p>
    <w:p>
      <w:r>
        <w:rPr>
          <w:b/>
        </w:rPr>
        <w:t>E. 4</w:t>
      </w:r>
    </w:p>
    <w:p>
      <w:r>
        <w:t>L'assuré a droit au traitement médical approprié des lésions résultant de l'accident (art. 10 al. 1 LAA). S'il est totalement ou partiellement incapable de travailler (art. 6 LPGA) à la suite d’un accident, il a droit à une indemnité journalière (art. 16 al. 1 LAA). Le droit à l'indemnité journalière naît le troisième jour qui suit celui de l'accident. Il s’éteint dès que l’assuré a recouvré sa pleine capacité de travail, dès qu’une rente est versée ou dès que l’assuré décède (art. 16 al. 2 LAA).</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4.2.2</w:t>
      </w:r>
    </w:p>
    <w:p>
      <w:r>
        <w:t>Dates d'apparition.</w:t>
      </w:r>
    </w:p>
    <w:p>
      <w:r>
        <w:rPr>
          <w:b/>
        </w:rPr>
        <w:t>E. 4.3</w:t>
      </w:r>
    </w:p>
    <w:p>
      <w:r>
        <w:t>L’état de santé de la personne expertisée est-il stabilisé ?</w:t>
      </w:r>
    </w:p>
    <w:p>
      <w:r>
        <w:rPr>
          <w:b/>
        </w:rPr>
        <w:t>E. 4.3.1</w:t>
      </w:r>
    </w:p>
    <w:p>
      <w:r>
        <w:t>Si oui, depuis quelle date ? 5. Causalité</w:t>
      </w:r>
    </w:p>
    <w:p>
      <w:r>
        <w:rPr>
          <w:b/>
        </w:rPr>
        <w:t>E. 5.1</w:t>
      </w:r>
    </w:p>
    <w:p>
      <w:r>
        <w:t>Si l'assuré est invalide (art. 8 LPGA) à 10% au moins par suite d’un accident, il a droit à une rente d'invalidité (art. 18 al. 1 LAA).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ordinaire de la comparaison des revenus).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dans sa teneur en vigueur jusqu'au 31 décembre 2020) ; seules les conséquences de l'atteinte à la santé sont prises en compte pour juger de la présence d'une incapacité de gain ; de plus, il n'y a incapacité de gain que si celle-ci n'est pas objectivement surmontable (al. 2). Depuis le 1er janvier 2021, l'expression « marché du travail équilibré dans son domaine d'activité » a été remplacée, dans le texte français, par celle de « marché du travail équilibré qui entre en considération », dans le but de faire correspondre la version française aux versions allemandes et italiennes</w:t>
      </w:r>
    </w:p>
    <w:p>
      <w:r>
        <w:t>A/768/2023 - 24/37 - (cf. Message du Conseil fédéral concernant la modification de la loi fédérale sur la partie générale du droit des assurances sociales du 2 mars 2018, FF 2018 1622).</w:t>
      </w:r>
    </w:p>
    <w:p>
      <w:r>
        <w:rPr>
          <w:b/>
        </w:rPr>
        <w:t>E. 5.1.1</w:t>
      </w:r>
    </w:p>
    <w:p>
      <w:r>
        <w:t>Les atteintes constatées sont-elles dans un rapport de causalité avec l’accident ? Plus précisément ce lien de causalité est-il seulement possible (probabilité de moins de 50%), probable (probabilité de plus de 50%) ou certain (probabilité de 100%) ?</w:t>
      </w:r>
    </w:p>
    <w:p>
      <w:r>
        <w:rPr>
          <w:b/>
        </w:rPr>
        <w:t>E. 5.1.2</w:t>
      </w:r>
    </w:p>
    <w:p>
      <w:r>
        <w:t>Qu'en est-il en particulier des éventuelles atteintes au membre supérieur droit, y a-t-il un phénomène de surutilisation de ce membre en raison de la non-utilisation du membre supérieur gauche ?</w:t>
      </w:r>
    </w:p>
    <w:p>
      <w:r>
        <w:t>A/768/2023 - 35/37 -</w:t>
      </w:r>
    </w:p>
    <w:p>
      <w:r>
        <w:rPr>
          <w:b/>
        </w:rPr>
        <w:t>E. 5.1.3</w:t>
      </w:r>
    </w:p>
    <w:p>
      <w:r>
        <w:t>Le statu quo ante a-t-il été atteint pour chaque diagnostic (moment où l’état de santé de la personne expertisée est similaire à celui qui existait immédiatement avant l’accident) ?</w:t>
      </w:r>
    </w:p>
    <w:p>
      <w:r>
        <w:rPr>
          <w:b/>
        </w:rPr>
        <w:t>E. 5.1.4</w:t>
      </w:r>
    </w:p>
    <w:p>
      <w:r>
        <w:t>Veuillez, le cas échéant, indiquer la date du statu quo ante pour chaque diagnostic posé.</w:t>
      </w:r>
    </w:p>
    <w:p>
      <w:r>
        <w:rPr>
          <w:b/>
        </w:rPr>
        <w:t>E. 5.2</w:t>
      </w:r>
    </w:p>
    <w:p>
      <w:r>
        <w:t>L’accident a-t-il décompensé un état maladif préexistant ? Le cas échéant, lequel et dans quelle mesure ?</w:t>
      </w:r>
    </w:p>
    <w:p>
      <w:r>
        <w:rPr>
          <w:b/>
        </w:rPr>
        <w:t>E. 5.2.1</w:t>
      </w:r>
    </w:p>
    <w:p>
      <w:r>
        <w:t>Si oui, à partir de quel moment le statu quo sine a-t-il été atteint (moment où l’état de santé de la personne expertisée est similaire à celui qui serait survenu tôt ou tard, même sans l’accident par suite d’un développement ordinaire) ? 6. Limitations fonctionnelles</w:t>
      </w:r>
    </w:p>
    <w:p>
      <w:r>
        <w:rPr>
          <w:b/>
        </w:rPr>
        <w:t>E. 6.1</w:t>
      </w:r>
    </w:p>
    <w:p>
      <w:r>
        <w:t>Indiquer les limitations fonctionnelles en relation avec chaque diagnostic.</w:t>
      </w:r>
    </w:p>
    <w:p>
      <w:r>
        <w:rPr>
          <w:b/>
        </w:rPr>
        <w:t>E. 6.2</w:t>
      </w:r>
    </w:p>
    <w:p>
      <w:r>
        <w:t>Dates d'apparition. 7. Capacité de travail</w:t>
      </w:r>
    </w:p>
    <w:p>
      <w:r>
        <w:rPr>
          <w:b/>
        </w:rPr>
        <w:t>E. 7</w:t>
      </w:r>
    </w:p>
    <w:p>
      <w:r>
        <w:t>Entre le 1er janvier 2008 et le 31 décembre 2015, le montant maximum du gain assuré s’élevait à CHF 126'000.- par an et CHF 346.- par jour (art. 22 al. 1 OLAA, dans sa teneur en vigueur jusqu'au 31 décembre 2015).</w:t>
      </w:r>
    </w:p>
    <w:p>
      <w:r>
        <w:rPr>
          <w:b/>
        </w:rPr>
        <w:t>E. 7.1</w:t>
      </w:r>
    </w:p>
    <w:p>
      <w:r>
        <w:t>Quelle est la capacité de travail de la personne expertisée dans une activité adaptée, compte tenu des seules atteintes en rapport de causalité (au moins probable – probabilité de plus de 50%) avec l’accident ?</w:t>
      </w:r>
    </w:p>
    <w:p>
      <w:r>
        <w:rPr>
          <w:b/>
        </w:rPr>
        <w:t>E. 7.2</w:t>
      </w:r>
    </w:p>
    <w:p>
      <w:r>
        <w:t>Si cette capacité de travail est seulement partielle, quelles sont les limitations fonctionnelles qui entrent en ligne de compte ? Depuis quelle date sont-elles présentes ?</w:t>
      </w:r>
    </w:p>
    <w:p>
      <w:r>
        <w:rPr>
          <w:b/>
        </w:rPr>
        <w:t>E. 7.3</w:t>
      </w:r>
    </w:p>
    <w:p>
      <w:r>
        <w:t>La personne expertisée subit-elle une diminution de rendement dans l'exercice d'une activité adaptée à ses limitations fonctionnelles ? Si oui, pour quelle raison et quel est le pourcentage de cette diminution de rendement ? En particulier, une éventuelle surutilisation du membre supérieur droit justifie-t-elle à elle seule une baisse de rendement dans une activité adaptée ?</w:t>
      </w:r>
    </w:p>
    <w:p>
      <w:r>
        <w:rPr>
          <w:b/>
        </w:rPr>
        <w:t>E. 7.4</w:t>
      </w:r>
    </w:p>
    <w:p>
      <w:r>
        <w:t>L'éventuelle baisse de rendement se cumule-t-elle (entièrement ou partiellement) à celle constatée sur le plan psychique, ou la diminution de 20% admise à ce titre respecte-t-elle celle sur le plan somatique ? Veuillez, le cas échéant, en discuter avec le Dr P______. 8. Traitement</w:t>
      </w:r>
    </w:p>
    <w:p>
      <w:r>
        <w:rPr>
          <w:b/>
        </w:rPr>
        <w:t>E. 8.1</w:t>
      </w:r>
    </w:p>
    <w:p>
      <w:r>
        <w:t>Examen du traitement suivi par la personne expertisée et analyse de son adéquation.</w:t>
      </w:r>
    </w:p>
    <w:p>
      <w:r>
        <w:rPr>
          <w:b/>
        </w:rPr>
        <w:t>E. 8.2</w:t>
      </w:r>
    </w:p>
    <w:p>
      <w:r>
        <w:t>Propositions thérapeutiques et analyse de leurs effets sur la capacité de travail de la personne expertisée.</w:t>
      </w:r>
    </w:p>
    <w:p>
      <w:r>
        <w:t>A/768/2023 - 36/37 -</w:t>
      </w:r>
    </w:p>
    <w:p>
      <w:r>
        <w:rPr>
          <w:b/>
        </w:rPr>
        <w:t>E. 8.3</w:t>
      </w:r>
    </w:p>
    <w:p>
      <w:r>
        <w:t>Peut-on attendre de la poursuite du traitement médical une notable amélioration de l’état de santé de la personne expertisée ?</w:t>
      </w:r>
    </w:p>
    <w:p>
      <w:r>
        <w:rPr>
          <w:b/>
        </w:rPr>
        <w:t>E. 8.4</w:t>
      </w:r>
    </w:p>
    <w:p>
      <w:r>
        <w:t>Si non, à partir de quel moment ne peut-on plus attendre de la continuation du traitement médical une notable amélioration de l’état de santé de la personne expertisée (état final atteint) ?</w:t>
      </w:r>
    </w:p>
    <w:p>
      <w:r>
        <w:rPr>
          <w:b/>
        </w:rPr>
        <w:t>E. 8.5</w:t>
      </w:r>
    </w:p>
    <w:p>
      <w:r>
        <w:t>Un traitement médical est-il nécessaire pour le maintien de l'état de santé actuel ? Le cas échéant, lequel ?</w:t>
      </w:r>
    </w:p>
    <w:p>
      <w:r>
        <w:rPr>
          <w:b/>
        </w:rPr>
        <w:t>E. 8.6</w:t>
      </w:r>
    </w:p>
    <w:p>
      <w:r>
        <w:t>Quel est le pronostic ? Le cas échéant, quels sont les risques d'aggravation ? 9. Atteinte à l’intégrité</w:t>
      </w:r>
    </w:p>
    <w:p>
      <w:r>
        <w:rPr>
          <w:b/>
        </w:rPr>
        <w:t>E. 9</w:t>
      </w:r>
    </w:p>
    <w:p>
      <w:r>
        <w:t>En cas de concours de plusieurs atteintes à l’intégrité physique, mentale ou psychique, dues à un ou plusieurs accidents, l’indemnité pour atteinte à l’intégrité est fixée d’après l’ensemble du dommage. L’indemnité totale ne peut dépasser le montant maximum du gain annuel assuré. Il est tenu compte, dans le taux</w:t>
      </w:r>
    </w:p>
    <w:p>
      <w:r>
        <w:t>A/768/2023 - 27/37 - d’indemnisation, des indemnités déjà reçues en vertu de la loi (art. 36 al. 3 OLAA). Selon la jurisprudence, il y a lieu d'additionner le pour cent correspondant à chacune des atteintes, même celles qui n'atteignent pas 5% (ATF 116 V 156 consid. 3b ; RAMA 1988 p. 230).</w:t>
      </w:r>
    </w:p>
    <w:p>
      <w:r>
        <w:rPr>
          <w:b/>
        </w:rPr>
        <w:t>E. 9.1</w:t>
      </w:r>
    </w:p>
    <w:p>
      <w:r>
        <w:t>La personne expertisée présente-t-elle une ou des atteinte(s) à l’intégrité définitive(s) sur le plan orthopédique, en lien avec les atteintes en rapport de causalité au moins probable (probabilité de plus de 50%) avec l’accident ?</w:t>
      </w:r>
    </w:p>
    <w:p>
      <w:r>
        <w:rPr>
          <w:b/>
        </w:rPr>
        <w:t>E. 9.2</w:t>
      </w:r>
    </w:p>
    <w:p>
      <w:r>
        <w:t>Si oui, quel est le taux applicable selon les tables de la SUVA pour chaque atteinte, et globalement ?</w:t>
      </w:r>
    </w:p>
    <w:p>
      <w:r>
        <w:rPr>
          <w:b/>
        </w:rPr>
        <w:t>E. 9.3</w:t>
      </w:r>
    </w:p>
    <w:p>
      <w:r>
        <w:t>Si une aggravation de l’intégrité physique est prévisible, veuillez en tenir compte dans l’évaluation de l’atteinte à l’intégrité et l’expliquer en détaillant le pourcentage dû à cette aggravation, étant précisé que seules les atteintes à la santé en lien probable (probabilité de plus de 50%) avec l’accident doivent être incluses dans le calcul du taux de l’indemnité. 10. Appréciation d'avis médicaux du dossier</w:t>
      </w:r>
    </w:p>
    <w:p>
      <w:r>
        <w:rPr>
          <w:b/>
        </w:rPr>
        <w:t>E. 10</w:t>
      </w:r>
    </w:p>
    <w:p>
      <w:r>
        <w:t>En présence d'une ou de plusieurs atteintes à l'intégrité physique et d'une atteinte à l'intégrité psychique, dont les conditions d'indemnisation sont réalisées, la réglementation posée à l'art. 36 al. 3 OLAA ne permet pas de considérer que les troubles psychiques sont déjà indemnisés par l'octroi d'une indemnité pour l'atteinte à l'intégrité physique. Certes, le but de l'indemnité pour atteinte à l'intégrité est de compenser par le versement d'un montant en espèces les souffrances physiques, ainsi que psychiques ressenties par l'assuré ensuite d'une atteinte à son intégrité. Elle s'apparente ainsi à l'indemnité pour tort moral selon le droit privé. Toutefois, lorsque les troubles psychiques constituent une atteinte particulièrement grave, justifiant une indemnisation selon les art. 24 al. 1 LAA et 36 al. 1 OLAA, on ne saurait admettre que celle-ci est pleinement réalisée par le seul versement d'une indemnité pour l'atteinte à l'intégrité physique qui est à l'origine des souffrances psychiques (arrêt du Tribunal fédéral 8C_917/2010 du 28 septembre 2011 consid. 5.4).</w:t>
      </w:r>
    </w:p>
    <w:p>
      <w:r>
        <w:rPr>
          <w:b/>
        </w:rPr>
        <w:t>E. 10.1</w:t>
      </w:r>
    </w:p>
    <w:p>
      <w:r>
        <w:t>Êtes-vous d'accord avec l'avis du Dr R______ ? En particulier avec les diagnostics posés et l'estimation d'une capacité de travail de la personne expertisée de 100% sans diminution de rendement ? Si non, pourquoi ?</w:t>
      </w:r>
    </w:p>
    <w:p>
      <w:r>
        <w:rPr>
          <w:b/>
        </w:rPr>
        <w:t>E. 10.2</w:t>
      </w:r>
    </w:p>
    <w:p>
      <w:r>
        <w:t>Êtes-vous d'accord avec l'avis des Drs R______, Q______ et P______ s'agissant de l'IPAI fixée globalement à 40% ? En particulier, l'indemnité somatique comprend-elle déjà une part de troubles psychiques en raison du réaménagement du schéma corporel ? Si non, pourquoi ? Veuillez, le cas échéant, en discuter avec les Drs Q______ et P______.</w:t>
      </w:r>
    </w:p>
    <w:p>
      <w:r>
        <w:rPr>
          <w:b/>
        </w:rPr>
        <w:t>E. 10.3</w:t>
      </w:r>
    </w:p>
    <w:p>
      <w:r>
        <w:t>Êtes-vous d’accord avec l’expertise de la Dre U______ du 31 décembre 2024 ? En particulier, avec l’estimation d’une IPAI de 35% (du point de vue uniquement orthopédique) et d’une capacité de travail de 80% dans une activité adaptée ? Si non, pourquoi ? 11. Autres facteurs</w:t>
      </w:r>
    </w:p>
    <w:p>
      <w:r>
        <w:rPr>
          <w:b/>
        </w:rPr>
        <w:t>E. 11.1</w:t>
      </w:r>
    </w:p>
    <w:p>
      <w:r>
        <w:t>Faire toutes autres observations ou suggestions utiles.</w:t>
      </w:r>
    </w:p>
    <w:p>
      <w:r>
        <w:t>A/768/2023 - 37/37 -</w:t>
      </w:r>
    </w:p>
    <w:p>
      <w:r>
        <w:t>E. Invite l’expert à déposer son rapport en trois exemplaires dans les meilleurs délais auprès de la chambre de céans.</w:t>
      </w:r>
    </w:p>
    <w:p>
      <w:r>
        <w:t>II. Réserve la suite de la procédure ainsi que le sort des frais jusqu’à droit jugé au fond.</w:t>
      </w:r>
    </w:p>
    <w:p>
      <w:r>
        <w:t>La greffière</w:t>
      </w:r>
    </w:p>
    <w:p>
      <w:r>
        <w:t>Adriana MALANGA</w:t>
      </w:r>
    </w:p>
    <w:p>
      <w:r>
        <w:t>La présidente</w:t>
      </w:r>
    </w:p>
    <w:p>
      <w:r>
        <w:t>Valérie MONTANI</w:t>
      </w:r>
    </w:p>
    <w:p>
      <w:r>
        <w:t>Une copie conforme de la présente ordonnance est notifiée aux parties le</w:t>
      </w:r>
    </w:p>
    <w:p>
      <w:r>
        <w:rPr>
          <w:b/>
        </w:rPr>
        <w:t>E. 11.2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(ATF 143 V 124 consid. 2.2.2). L'élément déterminant pour la valeur probante d'un rapport médical n'est ni son origine, ni sa désignation, mais son contenu. À</w:t>
      </w:r>
    </w:p>
    <w:p>
      <w:r>
        <w:t>A/768/2023 - 28/37 -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a posé des lignes directrices en ce qui concerne la manière d'apprécier certains types d'expertises ou de rapports médicaux (ATF 125 V 351 consid. 3b).</w:t>
      </w:r>
    </w:p>
    <w:p>
      <w:r>
        <w:rPr>
          <w:b/>
        </w:rPr>
        <w:t>E. 11.3</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137 V 210 consid. 1.3.4 et les références ; 135 V 465 consid. 4.4 et les références ; 125 V 351 consid. 3b/bb).</w:t>
      </w:r>
    </w:p>
    <w:p>
      <w:r>
        <w:rPr>
          <w:b/>
        </w:rPr>
        <w:t>E. 11.4</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rPr>
          <w:b/>
        </w:rPr>
        <w:t>E. 11.5</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135 V 465 consid. 4.5 et les références ;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t>A/768/2023 - 29/37 -</w:t>
      </w:r>
    </w:p>
    <w:p>
      <w:r>
        <w:rPr>
          <w:b/>
        </w:rPr>
        <w:t>E. 11.6</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12.1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 cf. ATF 130 III 321 consid. 3.2 et 3.3 et les références). Aussi n’existe-t-il pas, en droit des assurances sociales, un principe selon lequel l’administration ou le juge devrait statuer, dans le doute, en faveur de l’assuré (ATF 135 V 39 consid. 6. 1 et la référence).</w:t>
      </w:r>
    </w:p>
    <w:p>
      <w:r>
        <w:rPr>
          <w:b/>
        </w:rPr>
        <w:t>E. 12.2</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 RAMA 1985 p. 240 consid. 4 ; arrêt du Tribunal fédéral I 751/03 du 19 mars 2004 consid. 3.3).</w:t>
      </w:r>
    </w:p>
    <w:p>
      <w:r>
        <w:rPr>
          <w:b/>
        </w:rPr>
        <w:t>E. 13</w:t>
      </w:r>
    </w:p>
    <w:p>
      <w:r>
        <w:t>En l’occurrence, la chambre de céans a estimé qu’une expertise judiciaire orthopédique était nécessaire et a désigné la Dre U______, laquelle a rendu son rapport d’expertise le 31 décembre 2024.</w:t>
      </w:r>
    </w:p>
    <w:p>
      <w:r>
        <w:t>A/768/2023 - 30/37 -</w:t>
      </w:r>
    </w:p>
    <w:p>
      <w:r>
        <w:rPr>
          <w:b/>
        </w:rPr>
        <w:t>E. 13.1</w:t>
      </w:r>
    </w:p>
    <w:p>
      <w:r>
        <w:t>Comme relevé par la recourante, ce rapport d’expertise ne répond pas aux réquisits jurisprudentiels pour qu’il lui soit reconnu une pleine valeur probante. En effet, les réponses aux questions, en particulier concernant le lien de causalité entre l’atteinte au bras droit et l’accident, la capacité de travail et l’IPAI ne sont pas claires et parfois incohérentes. L’experte estime que le membre supérieur droit est plus sollicité en raison de la fonction limitée de la main gauche, que l’épicondylopathia humeri radialis n’était pas « obligatoire à apparaitre » et que la recourante n’avait pas montré de tels symptômes alors qu’elle avait travaillé comme concierge avec une charge importante des deux coudes (rapport d’expertise, points 5.1.2 et 5.2.1). Ces affirmations suggèrent que l’atteinte au membre supérieur droit est due à une sursollicitation de celui-ci en lien avec l’accident. Or, plus loin, l’experte indique que l’atteinte au membre supérieur droit n’est pas liée, avec une probabilité de plus de 50%, à l’accident (rapport d’expertise, point 9.1), sans aucune motivation. En particulier, l’analyse succincte effectuée par l’experte ne permet pas de comprendre pourquoi si la sursollicitation du membre supérieur droit est en lien avec l’accident, l’atteinte de ce membre ne serait pas, avec une probabilité de plus de 50%, en lien avec l’accident. La capacité de travail dans une activité adaptée monomanuelle ou purement intellectuelle est, selon l’experte, de 80% en raison d’un rendement réduit dû à la non-utilisation de la main gauche (rapport d’expertise, point 7.1). Plus loin, l’experte exclut une diminution de rendement majeur dans une activité adaptée, tout en expliquant qu’une certaine diminution de rendement d’environ 20% peut être admise, en raison d’une perte de vitesse (rapport d’expertise, point 7.3), ce qui est confus. En outre, une perte de rendement semble également admise (« justifiée ») en raison de l’atteinte au membre supérieur droit lors de périodes de douleurs (rapport d’expertise, point 7.3), sans que cette diminution de rendement ne soit chiffrée ou encore clairement exclue de tout lien avec l’accident. En outre, l’experte relève que le Dr R______ retient une capacité de travail de 80% en prenant en considération « une compensation de la main résiduelle dans la capacité de travail », ce qui lui parait tout à fait légitime (rapport d’expertise, point 10.1). Or, le Dr R______ a retenu une capacité de travail totale de la recourante dans une activité adaptée (rapport d’expertise du Dr R______, p. 20) et non pas de 80%, ce qui semble avoir échappé à l’experte et met en cause l’attention apportée à la réalisation de son expertise. Enfin, s’agissant de l’IPAI, l’experte l’estime à un taux de 35% (rapport d’expertise, point 9.2), tout en affirmant qu’elle se rallie à l’appréciation d’un taux de 40% selon les experts R______, Q______ et P______. Or, le Dr R______ a considéré que le taux de l’IPAI était de 40% du point de vue orthopédique (rapport d’expertise du Dr R______, p. 24) et l’experte ne motive pas la</w:t>
      </w:r>
    </w:p>
    <w:p>
      <w:r>
        <w:t>A/768/2023 - 31/37 - divergence de vue avec celui-ci. En outre, elle ne répond pas précisément à la question 10.2 de la mission d’expertise. Pour toutes ces raisons, il se justifie d’ordonner une surexpertise, étant au surplus relevé que l’experte n’a listé aucun document médical, de sorte qu’il existe un doute sur la manière dont elle a appréhendé le dossier de la recourante et que le rapport d’expertise comprend plusieurs imprécisions et confusions (notamment dans le chapitre des plaintes de la personne expertisée, point 3 et s’agissant de la capacité de travail, laquelle est motivée par des notions relevant de l’IPAI, point 7.1).</w:t>
      </w:r>
    </w:p>
    <w:p>
      <w:r>
        <w:rPr>
          <w:b/>
        </w:rPr>
        <w:t>E. 13.2</w:t>
      </w:r>
    </w:p>
    <w:p>
      <w:r>
        <w:t>La chambre de céans a proposé de confier la surexpertise judiciaire au Prof. V______. L’intimée se prévaut d’un motif de récusation du Prof. V______, au motif que dans un autre cas, l’expertise judiciaire de celui-ci n’avait pas été suivie par le Tribunal fédéral et que l’expertise ordonnée ensuite avait confirmé l’avis de son médecin-conseil. Cette affaire permettait de douter de la qualité des expertises du Prof. V______ et faisait redouter une activité partiale de l’expert.</w:t>
      </w:r>
    </w:p>
    <w:p>
      <w:r>
        <w:rPr>
          <w:b/>
        </w:rPr>
        <w:t>E. 13.2.1</w:t>
      </w:r>
    </w:p>
    <w:p>
      <w:r>
        <w:t>L'art. 29 al. 1 Cst. prévoit que toute personne a droit, dans une procédure judiciaire ou administrative, à ce que sa cause soit traitée équitablement et jugée dans un délai raisonnable. S'agissant de l'impartialité et de l'indépendance requises d'un expert, cette disposition assure une protection équivalente à celle de l'art. 30 al. 1 Cst. (ATF 127 I 196 consid. 2b ; arrêts du Tribunal fédéral 4A_352/2017 du 31 janvier 2018 consid. 4.1 ; 5A_981/2015 du 12 avril 2016 consid. 3.2.1), qui en la matière a la même portée que l'art. 6 par. 1 CEDH (ATF 129 V 196 consid.</w:t>
      </w:r>
    </w:p>
    <w:p>
      <w:r>
        <w:rPr>
          <w:b/>
        </w:rPr>
        <w:t>E. 13.2.2</w:t>
      </w:r>
    </w:p>
    <w:p>
      <w:r>
        <w:t>En l’occurrence et conformément à la jurisprudence précitée, le seul fait qu’une expertise du Prof. V______ n’a pas été suivie par le Tribunal fédéral ne constitue pas un motif de récusation de ce dernier. Au surplus, et contrairement aux dires de l’intimée, l’expertise du Prof. V______ qu’elle cite n’a pas été « anéantie par le fait de HELSANA et de son médecin-conseil », le Tribunal fédéral ayant finalement considéré qu’il existait deux appréciations médicales divergentes, ce qui justifiait une instruction médicale complémentaire (arrêt du Tribunal fédéral 8C_388/2023 du 10 avril 2024 consid. 9.4.3.2). Enfin, plusieurs expertises judiciaires du Prof. V______ ont été confirmées par la chambre de céans, voire par le Tribunal fédéral, de sorte que l’intimée ne saurait tirer aucun argument à l’encontre du Prof. V______ du seul cas précité, étant également relevé que la question d’une éventuelle absence de la valeur probante de l’expertise du Prof. V______ ne saurait constituer un motif de récusation</w:t>
      </w:r>
    </w:p>
    <w:p>
      <w:r>
        <w:t>A/768/2023 - 33/37 - formel de l’expert, mais pourrait uniquement être invoqué comme motif matériel devant être examiné avec la décision au fond, dans le cadre de l’appréciation des preuves. La demande de récusation sera en conséquence rejetée et la surexpertise judiciaire sera confiée au Prof. V______.</w:t>
      </w:r>
    </w:p>
    <w:p>
      <w:r>
        <w:rPr>
          <w:b/>
        </w:rPr>
        <w:t>E. 13.3</w:t>
      </w:r>
    </w:p>
    <w:p>
      <w:r>
        <w:t>L’intimée requiert l’ordonnance d’une expertise « pluridisciplinaire ». Elle ne motive toutefois pas quel autre volet médical serait nécessaire, étant au surplus constaté qu’elle n’a pas contesté l’ordonnance d’une expertise uniquement orthopédique, lorsque celle-ci a été confiée à la Dre U______. Quoi qu’il en soit, l’aspect orthopédique étant au premier plan, il se justifie de l’investiguer par le biais d’une surexpertise judiciaire, la question d’une nouvelle évaluation neurologique, psychiatrique voire neuropsychologique étant, en l’état, réservée. Enfin, l’intimée requiert l’ajout d’une question supplémentaire, laquelle sera insérée au point 10.3 de la mission d’expertise.</w:t>
      </w:r>
    </w:p>
    <w:p>
      <w:r>
        <w:t>A/768/2023 - 34/37 - PAR CES MOTIFS, LA CHAMBRE DES ASSURANCES SOCIALES :</w:t>
      </w:r>
    </w:p>
    <w:p>
      <w:r>
        <w:t>Statuant préparatoirement : I. Ordonne une surexpertise médicale de la recourante. La confie au Professeur V______, CENTRE MÉDICAL W______, avenue X______, à Genève.</w:t>
      </w:r>
    </w:p>
    <w:p>
      <w:r>
        <w:t>Dit que la mission d’expertise sera la suivante : A. Prendre connaissance du dossier de la cause. B. Si nécessaire prendre tous renseignements auprès des médecins ayant traité la personne expertisée, notamment le Dr E______. C. Examiner la personne expertisée et, si nécessaire, ordonner d'autres examens. D. Établir un rapport comprenant les éléments et les réponses aux questions suivants : 1. Anamnèse détaillée 2. Plaintes de la personne expertisée 3. Status et constatations objectives</w:t>
      </w:r>
    </w:p>
    <w:p>
      <w:r>
        <w:t>Les troubles subjectifs (plaintes) sont-ils expliqués par les constatations objectives ? 4. Diagnostics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