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ATAS/645/2017 vom 17. Juli 2017</w:t>
      </w:r>
    </w:p>
    <w:p>
      <w:r>
        <w:t>GE Cour de justice, 2017-07-17, FR</w:t>
      </w:r>
    </w:p>
    <w:p>
      <w:r>
        <w:rPr>
          <w:b/>
        </w:rPr>
        <w:t xml:space="preserve">Quelle: </w:t>
      </w:r>
      <w:r>
        <w:t>https://mcp.opencaselaw.ch/entscheid/ge_gerichte_ATAS_645_2017</w:t>
      </w:r>
    </w:p>
    <w:p>
      <w:r>
        <w:t>FR: GE_GERICHTE ATAS/645/2017 du 17 juillet 2017</w:t>
      </w:r>
    </w:p>
    <w:p>
      <w:r>
        <w:t>IT: GE_GERICHTE ATAS/645/2017 del 17 luglio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S’agissant de la compétence ratione loci, l’art. 46a LCA prescrit que le for se définit selon la loi du 24 mars 2000 sur les fors qui a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33 al. 2 des CGA prévoit qu’en cas de contestations, le preneur d’assureur ou l’ayant droit peut choisir soit les tribunaux de son domicile suisse, soit ceux du siège de l’assureur. Le demandeur, en tant qu’ayant droit, ayant son domicile dans le canton de Genève, la chambre de céans est compétente à raison du lieu pour connaître de la présente demande.</w:t>
      </w:r>
    </w:p>
    <w:p>
      <w:r>
        <w:rPr>
          <w:b/>
        </w:rPr>
        <w:t>E. 3</w:t>
      </w:r>
    </w:p>
    <w:p>
      <w:r>
        <w:t>Le droit applicable aux assurances complémentaires à l'assurance-maladie obligatoire est le CPC s'agissant de la procédure et la LCA s'agissant du fond. La LCA a subi des modifications. Du point de vue temporel, sont en principe applicables les règles de droit en vigueur au moment où les faits juridiquement déterminants se sont produits (ATF 130 V 229 consid. 1.1 et les références). Dès lors, les dispositions de la LCA seront citées dans leur teneur en vigueur au moment des faits déterminants qui remontent au 25 mars 2007.</w:t>
      </w:r>
    </w:p>
    <w:p>
      <w:r>
        <w:t>A/1186/2016 - 17/29 -</w:t>
      </w:r>
    </w:p>
    <w:p>
      <w:r>
        <w:rPr>
          <w:b/>
        </w:rPr>
        <w:t>E. 4</w:t>
      </w:r>
    </w:p>
    <w:p>
      <w:r>
        <w:t>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En l’espèce, la demande a été déposée le 19 avril 2016 par le demandeur, en tant que bénéficiaire de la couverture d’assurance collective d’indemnités journalières en cas de maladie souscrite par l’employeur, pour des prestations litigieuses dès le 30 novembre 2015. Le demandeur est donc fondé à agir à l’encontre de la défenderesse.</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6</w:t>
      </w:r>
    </w:p>
    <w:p>
      <w:r>
        <w:t>Pour le surplus, la demande en paiement du 19 avril 2016 respecte les conditions légales et de forme (art. 130 et 244 CPP). Elle est donc recevable.</w:t>
      </w:r>
    </w:p>
    <w:p>
      <w:r>
        <w:rPr>
          <w:b/>
        </w:rPr>
        <w:t>E. 7</w:t>
      </w:r>
    </w:p>
    <w:p>
      <w:r>
        <w:t>Le litige porte sur la question de savoir si le demandeur peut prétendre à des indemnités journalières au-delà du 29 novembre 2015, date à laquelle la défenderesse a mis fin auxdites indemnités. Il s’agit plus particulièrement de déterminer si le demandeur présente (encore) une incapacité de travail pour cause de maladie postérieure à cette date.</w:t>
      </w:r>
    </w:p>
    <w:p>
      <w:r>
        <w:rPr>
          <w:b/>
        </w:rPr>
        <w:t>E. 8</w:t>
      </w:r>
    </w:p>
    <w:p>
      <w:r>
        <w:t>a. Les conclusions du demandeur tendent à la condamnation de la défenderesse à verser au demandeur la somme de CHF 12'224.80, à titre d’indemnités journalières du 1er décembre 2015 au 18 avril 2016, et à la condamnation de la défenderesse à continuer à verser lesdites indemnités dès le 19 avril 2016 jusqu’à la fin de l’arrêt maladie. b. S’agissant de la recevabilité de ces conclusions amplifiées, il convient de rappeler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w:t>
      </w:r>
    </w:p>
    <w:p>
      <w:r>
        <w:t>A/1186/2016 - 18/29 -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c. En l’espèce, le versement des indemnités journalières au-delà du 18 avril 2016 est en lien de connexité matérielle au sens de la définition ci-dessus, puisqu’il résulte d’un différend reposant sur le même rapport juridique et qu’il y a identité de parties. Partant, les conclusions amplifiées du demandeur sont recevables, étant de toute manière relevé qu’au vu du sort du litige, cette question pouvait demeurer ouverte.</w:t>
      </w:r>
    </w:p>
    <w:p>
      <w:r>
        <w:rPr>
          <w:b/>
        </w:rPr>
        <w:t>E. 9</w:t>
      </w:r>
    </w:p>
    <w:p>
      <w:r>
        <w:t>Enfin, sous l’angle procédural, l’art. 58 al. 1 du CPC dispose que le tribunal ne peut accorder à une partie ni plus ni autre chose que ce qui est demandé, ni moins que ce qui est reconnu par la partie adverse.</w:t>
      </w:r>
    </w:p>
    <w:p>
      <w:r>
        <w:rPr>
          <w:b/>
        </w:rPr>
        <w:t>E. 10</w:t>
      </w:r>
    </w:p>
    <w:p>
      <w:r>
        <w:t>décembre 1907 (CC -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w:t>
      </w:r>
    </w:p>
    <w:p>
      <w:r>
        <w:t>A/1186/2016 - 19/29 -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11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w:t>
      </w:r>
    </w:p>
    <w:p>
      <w:r>
        <w:t>A/1186/2016 - 20/29 -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ATF 130 III 321 consid. 3.3 et les références citées). Parmi tous les éléments de fait allégués ou envisageables, le juge doit, le cas échéant, retenir ceux qui lui paraissent les plus probables (ATF 126 V 360 consid. 5b ; 125 V 195 consid. 2 et les références; cf. ATF 130 III 324 consid. 3.2 et 3.3). Aussi n’existe-t- il pas, en droit des assurances sociales, un principe selon lequel l’administration ou le juge devrait statuer, dans le doute, en faveur de l’assuré (ATF 126 V 322 consid. 5a).</w:t>
      </w:r>
    </w:p>
    <w:p>
      <w:r>
        <w:rPr>
          <w:b/>
        </w:rPr>
        <w:t>E. 13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A/1186/2016 - 21/29 - valeur probante n’est ni l’origine du moyen de preuve ni sa désignation comme rapport ou comme expertise, mais bel et bien son contenu (ATF 125 V 351 consid. 3a ; 122 V 157 consid. 1c et les références; arrêt du Tribunal fédéral 9C_773/2007 du 23 juin 2008 consid. 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a. 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b. Aux termes de l’art. 1 des CGA, l’assureur accorde sa garantie « pour les conséquences économiques d’une incapacité de travail résultant de la maladie/de l’accident (…) ». La maladie est définie comme étant toute atteinte involontaire à la santé physique ou mentale, médicalement et objectivement décelable, qui n’est pas due à un accident ou à ses suites et qui exige un examen, un traitement médical ou engendre une incapacité de travail (art. 3 al. 1 CGA). L’indemnité journalière est allouée en cas d’incapacité de travail à partir de 25% (art. 12 al. 1 CGA).</w:t>
      </w:r>
    </w:p>
    <w:p>
      <w:r>
        <w:t>A/1186/2016 - 22/29 -</w:t>
      </w:r>
    </w:p>
    <w:p>
      <w:r>
        <w:rPr>
          <w:b/>
        </w:rPr>
        <w:t>E. 15</w:t>
      </w:r>
    </w:p>
    <w:p>
      <w:r>
        <w:t>En l’espèce, il y a lieu d’examiner si le demandeur présente une incapacité de travail pour cause de maladie supérieure à 25%. On rappellera que la défenderesse a refusé d’allouer au demandeur des indemnités journalières au-delà du 29 novembre 2015, motif pris qu’il disposait d’une capacité de travail entière dans son activité habituelle de vitrier, exercée à 50%, à compter du 13 novembre 2015, date de l’expertise psychiatrique. Cela étant, la défenderesse a accepté, à bien plaire, d’accorder les indemnités journalières jusqu’au 29 novembre 2015. À cet égard, la défenderesse se fonde sur le rapport d’expertise du Dr D______ du 25 juin 2015, celui de la Dresse F______ du 25 novembre 2015, ainsi que sur l’avis de son médecin-conseil. Dans la mesure où le demandeur conteste les rapports d’expertise, et oppose l’opinion de ses médecins-traitants, il y a lieu de déterminer la valeur probante des différents rapports médicaux.</w:t>
      </w:r>
    </w:p>
    <w:p>
      <w:r>
        <w:rPr>
          <w:b/>
        </w:rPr>
        <w:t>E. 16</w:t>
      </w:r>
    </w:p>
    <w:p>
      <w:r>
        <w:t>a. Au préalable, dans sa réplique, le demandeur semble critiquer les rapports des Drs D______ et F______, en raison de la durée brève des examens, soit trente minutes pour le premier et vingt minutes pour la seconde. Les rapports ne spécifient pas la durée de l’entretien, mais, quoi qu’il en soit, la durée de l'entretien entre l'expert et l'assuré n'est pas un critère reconnu par la jurisprudence pour avoir une influence déterminante sur la qualité et la valeur probante d'un rapport d'expertise (arrêt du Tribunal fédéral I. 695/04 du 24 janvier 2006 consid. 4.1). En effet, le travail de l'expert ne s'arrête pas au stade de l'entretien, mais consiste également et avant tout en l'analyse des propos recueillis et du comportement observé (arrêt du Tribunal fédéral I.719/06 du 4 juillet 2007 consid. 2.2). b. Ensuite, le demandeur semble reprocher le fait que l’entretien n’ait pas eu lieu en présence d’un interprète, alléguant qu’il ne maîtrisait pas bien le français.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(arrêt du Tribunal fédéral 9C_262/2015 du 8 janvier 2016 consid. 5.1). En l’espèce, le Dr D______ a relevé que le demandeur collaborait à l’examen, lequel s’exprimait correctement en français, mais certaines questions devaient être reformulées. Quant à la Dresse F______, elle a noté qu’il existait une barrière</w:t>
      </w:r>
    </w:p>
    <w:p>
      <w:r>
        <w:t>A/1186/2016 - 23/29 - linguistique, laquelle n’avait toutefois pas altéré l’examen psychiatrique. Le demandeur avait été collaborant, avec un discours fluide et cohérent. Lors de l’audience de comparution personnelles des parties, le demandeur, assisté d’une interprète, a déclaré qu’il avait bien compris les questions posées par la Dresse F______, telles que « fumez-vous des stupéfiants ? », « quelles sont vos relations avec votre ex-femme ? », « avez-vous bon appétit ? ». Il était capable de s’exprimer en français, mais ne se sentait pas à l’aise pour aborder des sujets en profondeur. Dès lors qu’il n’existe pas d’indice selon lequel au cours de l’entretien, un aspect déterminant pour constater l'existence d'une atteinte à la santé psychique ou somatique, poser un diagnostic y relatif, ou évaluer la capacité de travail du point de vue médical, aurait été omis en raison d'une incompréhension linguistique, et compte tenu du fait que le demandeur n’a pas requis la présence d'un interprète (ce qu’il aurait pu faire s’il avait estimé que les questions posées étaient incompréhensibles), l'absence d'un traducteur durant l'entretien n’est pas de nature à susciter une incertitude quant à la pertinence des constatations des experts. c. Il s’ensuit qu’on ne saurait écarter les rapports d’expertise aux seuls motifs que l’entretien aurait été trop bref ou qu’un interprète était absent. Il convient plutôt d’examiner la force probante desdits rapports à la lumière des exigences posées par la jurisprudence.</w:t>
      </w:r>
    </w:p>
    <w:p>
      <w:r>
        <w:rPr>
          <w:b/>
        </w:rPr>
        <w:t>E. 17</w:t>
      </w:r>
    </w:p>
    <w:p>
      <w:r>
        <w:t>a. Sur le plan somatique, le demandeur se plaint d’une forte somnolence diurne et d’une asthénie importante dues à un syndrome d’apnées du sommeil. b. Le Dr D______ a examiné le demandeur le 18 juin 2015. En tant que spécialiste en médecine interne, l’expert disposait donc des connaissances médicales suffisantes pour procéder à la mission d’expertise que lui avait confiée la défenderesse. Son rapport du 25 juin 2015 repose sur l’anamnèse, qui comprend des éléments biographiques, la situation professionnelle, l’histoire de la maladie, et fait état des plaintes du demandeur, soit une asthénie ayant augmenté depuis deux ans, et une somnolence diurne. L’expert a tenu compte du diagnostic de SAS sévère posé par le médecin-traitant, le Dr C______, dans son courrier du 21 avril 2015, mais ne partage pas l’opinion de ce dernier en relation avec la capacité de travail du demandeur. Il est toutefois de jurisprudence que les opinions des médecins-traitants doivent être examinées avec circonspection (ATF 125 V 351 consid. 3b/cc). L’expert a expliqué que le SAS entraînait en général une somnolence, laquelle n’avait par contre été constatée ni dans la salle d’attente ni pendant la consultation. Ainsi, dans la mesure où le demandeur effectuait un travail de quatre heures le matin, nécessitant un effort physique modéré, sans besoin de concentration importante, aucune limitation n’était retenue dans le métier de vitrier. L’employeur employait en effet une trentaine de personnes pour la fabrication de fenêtres. Deux employés, dont le demandeur, étaient affectés à la pose des vitres. Le port de charges était variable.</w:t>
      </w:r>
    </w:p>
    <w:p>
      <w:r>
        <w:t>A/1186/2016 - 24/29 - En cas de poids important, ils pouvaient œuvrer à plusieurs, en utilisant des ventouses pour assurer leur mise en place. Sur cette base, l’expert a conclu qu’au</w:t>
      </w:r>
    </w:p>
    <w:p>
      <w:r>
        <w:rPr>
          <w:b/>
        </w:rPr>
        <w:t>E. 18</w:t>
      </w:r>
    </w:p>
    <w:p>
      <w:r>
        <w:t>a. Sur le plan psychiatrique, le médecin-traitant, la Dresse E______ a diagnostiqué un état de stress post-traumatique, une dysthymie, un syndrome somatique, une personnalité à risque et un trouble du sommeil significatif. Toute continuation professionnelle partielle représentait une condition certaine d’aggravation au vu de la souffrance significative cardiaque (cf. son rapport du 24 septembre 2015). b. S’agissant du syndrome somatique et du trouble du sommeil significatif, il y a lieu de se référer au rapport d’expertise du Dr D______, dont la valeur probante a été reconnue pour les motifs exposés ci-dessus. c. En ce qui concerne l’éventuelle aggravation de l’état de santé psychique du demandeur en raison de son affection cardiaque, force est de constater que, d’une part, le Dr D______ a observé que les bruits du cœur étaient réguliers, sans souffle. D’autre part, le cardiologue traitant, le Dr G______ a relevé que l’état de santé du demandeur était stationnaire depuis l’angioplastie réalisée en 2007. En effet, dans son rapport du 12 avril 2013, ce spécialiste a noté que le pouls était régulier, sans signe d’insuffisance cardiaque droite ni gauche. L’auscultation cardio-pulmonaire était sans particularité. Dans son courrier du 13 janvier 2016, le médecin a indiqué que le demandeur devait éviter les efforts isométriques importants, tels que le port de charges lourdes, mais qu’il avait bien toléré le traitement d’Ivabradine, ce qui avait entraîné une amélioration de la symptomatologie à l’effort physique. Par ailleurs, dans son rapport du 15 juillet 2015, le Dr H______, spécialiste en médecine nucléaire, relevait que la fraction d’éjection du ventricule gauche était normale. Enfin, dans le résumé de séjour du 2 août 2015, les HUG n’ont pas constaté de signe d’une ischémie aiguë, de sorte qu’une hospitalisation n’était pas nécessaire. Ces éléments démontrent que, quand bien même le demandeur a souffert d’une crise cardiaque en 2007, dans la mesure où il est régulièrement suivi et compte tenu du fait que les analyses médicales sont normales, conclure qu’un trouble mental dû à l’affection cardiaque (cf. courrier de la Dresse E______ du 17 décembre 2015) serait incapacitant n’emporte pas la conviction, ce d’autant que le demandeur a continué à exercer, certes à mi-temps, son activité habituelle après l’angioplastie, et ce dans de bonnes conditions (cf. procès-verbal de comparution des parties du 12 septembre 2016). d. Quant à l’état de stress post-traumatique, en lien avec les événements vécus en Irak (enfance et adolescence malheureuse, lutte contre l’ancien régime dictatorial, violences subies dans le cadre du premier mariage, décès du grand frère [faits dont l’experte, la Dresse F______, spécialiste en psychiatrie, a pris en compte sur la base des éléments ressortant du dossier]), cette dernière a indiqué dans son rapport du 25 novembre 2015 qu’elle n’avait pas constaté la présence des principaux symptômes évocateurs d’un tel diagnostic, à savoir des flashbacks diurnes ou nocturnes, un état d’hypersensibilité ou d’hypovigilance, ou une attitude d’évitement. Elle en a déduit que si le trouble de stress post-traumatique a pu exister auparavant, il n’était plus actif actuellement. Dans la mesure où lors de l’audience de comparution personnelle des parties, le demandeur a confirmé qu’il</w:t>
      </w:r>
    </w:p>
    <w:p>
      <w:r>
        <w:t>A/1186/2016 - 26/29 - n’avait pas fait spontanément part à l’experte de ses souvenirs qu’il pouvait avoir de sa vie en Irak, force est de conclure, à l’instar de l’experte, que les événements en question n’ont pas un impact actuel dans la vie du demandeur au quotidien, car dans le cas contraire, il aurait manifestement évoqué ses flashbacks diurnes lors de l’entretien, ce qui n’a pas été le cas. Au demeurant, le demandeur a pu reconstruire sa vie : il s’est remarié, il a eu deux enfants (en sus des deux enfants issus de sa première union), et a travaillé, après son infarctus, à mi-temps jusqu’au</w:t>
      </w:r>
    </w:p>
    <w:p>
      <w:r>
        <w:rPr>
          <w:b/>
        </w:rPr>
        <w:t>E. 20</w:t>
      </w:r>
    </w:p>
    <w:p>
      <w:r>
        <w:t>Dans la mesure où il n’existe pas de circonstance bien établie, susceptible d’ébranler sérieusement la crédibilité des conclusions des experts, l’audition des médecins-traitants ou celle de la Dresse F______, et la mise sur pied d’une expertise pluridisciplinaire, offertes par le demandeur, s’avèrent superflues, de sorte que, par appréciation anticipée des preuves, la chambre de céans n’y donnera pas suite (ATF 122 II 469 consid. 4a).</w:t>
      </w:r>
    </w:p>
    <w:p>
      <w:r>
        <w:rPr>
          <w:b/>
        </w:rPr>
        <w:t>E. 21</w:t>
      </w:r>
    </w:p>
    <w:p>
      <w:r>
        <w:t>Mal fondée, la demande doit dès lors être rejetée.</w:t>
      </w:r>
    </w:p>
    <w:p>
      <w:r>
        <w:rPr>
          <w:b/>
        </w:rPr>
        <w:t>E. 22</w:t>
      </w:r>
    </w:p>
    <w:p>
      <w:r>
        <w:t>La défenderesse conclut à l’octroi de dépens. Il n’est toutefois pas alloué de dépens à la charge du demandeur qui succombe dans les causes portant sur les assurances complémentaires à l’assurance-maladie obligatoire (art. 22 al. 3 let. b de la loi d'application du code civil suisse et d’autres lois fédérales en matière civile du 11 octobre 2012 [LaCC - E 1 05]). Pour le surplus, la procédure est gratuite (art. 22 al. 3 LaCC ; art. 114 let. e CPC).</w:t>
      </w:r>
    </w:p>
    <w:p>
      <w:r>
        <w:t>A/1186/2016 - 29/29 -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