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ATAS/645/2015 vom 27. August 2015</w:t>
      </w:r>
    </w:p>
    <w:p>
      <w:r>
        <w:t>GE Cour de justice, 2015-08-27, FR</w:t>
      </w:r>
    </w:p>
    <w:p>
      <w:r>
        <w:rPr>
          <w:b/>
        </w:rPr>
        <w:t xml:space="preserve">Quelle: </w:t>
      </w:r>
      <w:r>
        <w:t>https://mcp.opencaselaw.ch/entscheid/ge_gerichte_ATAS_645_2015</w:t>
      </w:r>
    </w:p>
    <w:p>
      <w:r>
        <w:t>FR: GE_GERICHTE ATAS/645/2015 du 27 août 2015</w:t>
      </w:r>
    </w:p>
    <w:p>
      <w:r>
        <w:t>IT: GE_GERICHTE ATAS/645/2015 del 27 agosto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Le litige porte sur le droit de l’assuré aux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w:t>
      </w:r>
    </w:p>
    <w:p>
      <w:r>
        <w:t>A/830/2014 - 10/15 -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w:t>
      </w:r>
    </w:p>
    <w:p>
      <w:r>
        <w:t>A/830/2014 - 11/15 -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w:t>
      </w:r>
    </w:p>
    <w:p>
      <w:r>
        <w:t>A/830/2014 - 12/15 -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w:t>
      </w:r>
    </w:p>
    <w:p>
      <w:r>
        <w:rPr>
          <w:b/>
        </w:rPr>
        <w:t>E. 10</w:t>
      </w:r>
    </w:p>
    <w:p>
      <w:r>
        <w:t>En l’espèce, le recourant fait grief à l'administration d'avoir fondé son appréciation de la capacité de travail sur le rapport du Dr F______, dont il soutient qu’il ne saurait se voir reconnaître pleine valeur probante. Force est toutefois de constater que le rapport d'examen du Dr F______ se fonde sur une anamnèse détaillée, un examen clinique du recourant et qu’il tient compte des plaintes rapportées par ce dernier. Il a été établi en pleine connaissance du dossier et ses conclusions, dûment motivées, ne laissent pas apparaître de contradictions. Il y a donc lieu de lui reconnaître pleine valeur probante, ce d’autant que les diagnostics retenus par l’expert ont été dûment confirmés par le psychiatre traitant. Certes, les conclusions de l’expert et du psychiatre traitant divergent quant à la capacité de travail. Cela étant, il n'est pas suffisant de juxtaposer l'avis différent de son médecin traitant à celui de l'expert dont les conclusions sont contestées, en se prévalant de ce que le premier suivrait l’assuré régulièrement depuis de nombreuses années, car en procédant de la sorte, on ne démontre pas encore que l'expertise comporterait des contradictions manifestes ou ignorerait des éléments cliniques ou diagnostiques essentiels. En l’occurrence, tous les éléments évoqués par le psychiatre traitant ont été examinés par l’expert. Le recourant n'explique pas non</w:t>
      </w:r>
    </w:p>
    <w:p>
      <w:r>
        <w:t>A/830/2014 - 13/15 - plus en quoi le point de vue de son psychiatre traitant serait objectivement mieux fondé que celui de l'expert ou justifierait la mise en œuvre d'un complément d'instruction sous la forme d'investigations médicales supplémentaires (cf. arrêt 9C_506/2013 du 18 décembre 2013 consid., 4.2). Or, une évaluation médicale complète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(cf. notamment arrêt 9C_631/2012 du 9 novembre 2012 consid. 3). Tel n’est pas le cas en l’occurrence. Toutes les atteintes retenues par le psychiatre traitant l’ont également été par l’expert, lequel était également informé de l’hypospadias. Le fait que la dysthymie constatée soit présente depuis longtemps ne saurait, en soi, expliquer la totale incapacité de travail alléguée par le psychiatre traitant, d’autant que l’assuré a, malgré tout, par le passé, été capable d’exercer une activité lucrative et que le psychiatre traitant reconnaît qu’il dispose encore de ressources lui permettant de se mobiliser - au plan privé - de manière même plus intense que ce qu’a retenu l’expert. L’expert, pour sa part, motive ses conclusions de manière convaincante, expliquant en particulier pour quelles raisons il avait finalement répondu par la négative à la question de savoir si le trouble de la personnalité devait se voir reconnaître un caractère invalidant. A cet égard, ses constatations sont d’ailleurs corroborées une fois encore par le psychiatre traitant, lequel a admis en audience que ce trouble n’était pas décompensé. Quant aux troubles du sommeil et de la concentration allégués, l’expert en a également tenu compte, tout en expliquant pourquoi ils devaient être mis en relation avec le syndrome d’apnées du sommeil plutôt qu’avec un état dépressif. Pour le reste, les éléments relevés par le recourant pour déduire que le rapport du Dr F______ se baserait sur une « analyse sociale et sociologique superficielle » ne sont pas déterminants. Ainsi, le fait que l’expert ait par exemple indiqué que sa mère était infirmière (alors qu’elle était enseignante) ou que l’assuré avait redoublé deux fois en école primaire (alors que c’était au cycle d’orientation et à une seule occasion), ne sauraient avoir la moindre répercussion sur l’évaluation de la capacité de travail de l’intéressé. Quant à l’allégation selon laquelle l’assuré vivrait « maritalement » avec sa mère, il s’agit manifestement d’une formulation malheureuse. Si l’on peut comprendre l’indignation du recourant, la lecture de l’expertise dans son intégralité démontre que jamais l’expert n’a voulu insinuer par là une relation incestueuse ; il entendait simplement exprimer que l’assuré avait vécu, dans un premier temps, seul avec sa mère, avant que sa femme ne le rejoigne, en des termes, il est vrai, mal appropriés. Contrairement à ce qu’allègue le recourant, l’expert n’a pas purement et simplement écarté le résultat des tests psychométriques effectués. Au contraire, il en a détaillé les résultats, expliquant en quoi ils étaient contradictoires et révélateurs</w:t>
      </w:r>
    </w:p>
    <w:p>
      <w:r>
        <w:t>A/830/2014 - 14/15 - d’une certaine tendance à la dramatisation et à l’amplification des plaintes, qu’il a souligné avoir d’ailleurs constatée à l’examen. Au demeurant, si le Dr F______ a cru bon de rendre son expertise sans faire passer à l’assuré tous les tests initialement envisagés, c’est qu’il a estimé disposer de suffisamment d’éléments pour se déterminer. A aucun moment il ne laisse en effet entendre que la valeur de ses conclusions pourrait avoir été influencée par le fait que certains tests n’auraient pas été passés. Quant au temps consacré pour l'entretien, il y a lieu de rappeler que la durée d'un examen n'est pas un critère permettant en soi de juger de la valeur probante d'un rapport médical (arrêt 9C_382/2008 du 22 juillet 2008 consid. 2 et l'arrêt cité). Enfin, l’expert, s’il évoque effectivement l’interruption du suivi psychiatrique, n’en tire concrètement aucune conclusion quant à la capacité de travail de l’assuré. Eu égard aux considérations qui précèdent, force est de constater qu’il n’existe pas d’éléments objectifs permettant de faire douter de la valeur probante de l’expertise du Dr F______ ou de justifier la mise sur pied d’une nouvelle expertise dont le psychiatre traitant lui-même a reconnu qu’elle conduirait probablement au même résultat. En conséquence, c’est à juste titre que l’intimé s’est fondé sur les conclusions du Dr F______ pour nier à l’assuré le droit à toute prestation. Le recours, mal fondé, est rejeté.</w:t>
      </w:r>
    </w:p>
    <w:p>
      <w:r>
        <w:t>A/830/2014 - 15/15 -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