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ATAS/644/2024 vom 10. November 2020</w:t>
      </w:r>
    </w:p>
    <w:p>
      <w:r>
        <w:t>GE Cour de justice, 2020-11-10, FR</w:t>
      </w:r>
    </w:p>
    <w:p>
      <w:r>
        <w:rPr>
          <w:b/>
        </w:rPr>
        <w:t xml:space="preserve">Quelle: </w:t>
      </w:r>
      <w:r>
        <w:t>https://mcp.opencaselaw.ch/entscheid/ge_gerichte_ATAS_644_2024</w:t>
      </w:r>
    </w:p>
    <w:p>
      <w:r>
        <w:t>FR: GE_GERICHTE ATAS/644/2024 du 10 novembre 2020</w:t>
      </w:r>
    </w:p>
    <w:p>
      <w:r>
        <w:t>IT: GE_GERICHTE ATAS/644/2024 del 10 novembre 2020</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Le délai de recours est de 30 jours (art. 60 al. 1 LPGA ; art. 43 LPCC ; art. 62 al. 1 let. a de la loi sur la procédure administrative du 12 septembre 1985 [LPA - E 5 10]). Interjeté dans les forme et délai légaux, le recours est prima facie recevable (art. 56 al. 1 et 60 al. 1 LPGA ; art. 9 de la loi cantonale sur les prestations fédérales complémentaires à l’assurance-vieillesse et survivants et à l’assurance- invalidité du 14 octobre 1965 [LPFC - J 4 20] ; art. 43 LPCC). 2. Le litige porte sur la demande du recourant de prendre des mesures « superprovisionnelles » afin que l’intimé continue à lui verser les prestations complémentaires jusqu’à l’entrée en force de l’arrêt de la chambre de céans sur son recours du 29 juillet 2024. Cette demande correspond matériellement à une demande de restitution de l’effet suspensif au recours formée contre la décision sur opposition du 18 juillet 2024 en tant que l’intimé a supprimé au recourant le</w:t>
      </w:r>
    </w:p>
    <w:p>
      <w:r>
        <w:t>A/2506/2024 - 5/8 - droit aux prestations complémentaires avec effet au 1er janvier 2024. La demande du recourant ne concerne pas la demande de restitution qui fait également l’objet du recours, étant par ailleurs relevé que ce dernier a un effet suspensif, conformément à l’art. 49 al. 5 LPGA, sur la demande de restitution. 3. 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 arrêt du Tribunal fédéral 9C_207/2014 du 1er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 voir également arrêts</w:t>
      </w:r>
    </w:p>
    <w:p>
      <w:r>
        <w:t>A/2506/2024 - 6/8 - du Tribunal fédéral 9C_846/2018 du 29 novembre 2019 consid. 7.1 et 9C_207/2014 du 1er mai 2014 consid. 5.3). Selon l’art. 9a LPC, les personnes dont la fortune nette est inférieure aux seuils suivants ont droit à des prestations complémentaires : a. CHF 100'000.- pour les personnes seules ; b. CHF 200'000.- pour les couples ; c. CHF 50'000.- pour les enfants ayant droit à une rente d’orphelin ou donnant droit à une rente pour enfant de l’AVS ou de l’AI. Le n. 2511.01 DPC reprend la teneur de l’art. 9a LPC et renvoie aux n. 3124.01 et 3124.02 pour les enfants donnant droit à une rente pour enfant de l’AVS ou de l’AI. Selon le n. 3124.02 DPC, les enfants qui donnent droit à une rente pour enfant de l’AVS ou de l’AI et dont la fortune nette dépasse CHF 50'000.- ne sont pas pris en compte dans le calcul de la prestation complémentaire. Pour les enfants qui ne vivent pas avec un parent ayant droit à une rente, il est renvoyé au n. 3143.02. Selon le n. 3143.01 DPC, si l’enfant ne vit pas chez ses parents, ou s’il vit chez celui qui n’a pas droit à une rente ni ne donne droit à une rente complémentaire de l’AVS, la prestation annuelle de l’enfant doit être calculée séparément, pour autant que le bénéficiaire de rente ait son domicile et sa résidence habituelle en Suisse et que la fortune des parents ou du parent ayant droit à la rente ne dépasse pas le montant selon le n. 2511.01. À défaut, il n’existe aucun droit aux prestations complémentaires. La fortune, au sens de l'art. 11 al. 1 let. b et c LPC, comprend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Ergänzungsleistungen zur Alters-, Hinterlassenen- und Invalidenversicherung, 2006 n. 35, JÖHL, Ergänzungsleistungen zur AHV/IV, SBVR XIV, 2016, n. 163 p. 1844s). Selon la jurisprudence du Tribunal fédéral, la part d'héritage d'un bénéficiaire des prestations complémentaires doit être prise en compte dès l'ouverture de la succession qu'il acquiert de plein droit (art. 560 al. 1 du Code civil suisse du 10 décembre 1907 [CC - RS 210]), soit au décès du de cujus (art. 537 al. 1 CC) et non seulement à partir du moment où le partage est réalisé (RCC 1992 p. 347 consid. 2c ; arrêts du Tribunal fédéral P 22/06 du 23 janvier 2007 consid. 5, P 61/04 du 23 mars 2006 consid. 4, P 54/02 du 17 septembre 2003 consid. 3.3 ; ATAS/849/2017 ; ATAS/537/2018). Le Tribunal fédéral justifie sa jurisprudence par le fait que les membres d’une communauté héréditaire sont propriétaires et disposent en commun des biens qui</w:t>
      </w:r>
    </w:p>
    <w:p>
      <w:r>
        <w:t>A/2506/2024 - 7/8 - dépendent de la succession (cf. art. 602 al. 1 CC). Dans une propriété indivise, chaque propriétaire peut disposer individuellement de la part au produit de la liquidation lorsque l’indivision est dissoute, par exemple par cession et mise en gage (cf. art. 635 CC). De cette façon, le droit d’un héritier sur la part de la succession ou de la liquidation qui lui revient peut être aliéné et utilisé déjà avant le partage (RCC 1992 p. 347 consid. 2c et 2d). En outre, si on prenait en compte la part de l’héritage au moment du partage, les bénéficiaires de prestations complémentaires pourraient être tentés de retarder le plus longtemps possible le partage pour pouvoir continuer à percevoir lesdites prestations (Erwin CARIGIET, Ergänzungleistungen zur AHV/IV, 2009, p. 165). 4. En l’espèce, il ressort des dispositions précitées que le recourant n’a pas de droit aux prestations complémentaires si la fortune de son père, qui est l’ayant droit principal à une rente d’invalidité, dépasse les montants cités au n. 2511.01 DPC, qui reprend ceux cités à l’art. 9a LPC. À teneur des pièces au dossier, le recourant n’a pas rendu vraisemblable que l’intimé aurait retenu à tort que son père n’avait pas un montant de fortune excluant le droit aux prestations complémentaires, étant relevé que l’intimé peut, au vu de la jurisprudence précitée, tenir compte d’une part d’héritage avant que celle-ci ne parvienne sur le compte du bénéficiaire des prestations complémentaires. Dans ces circonstances, les chances de succès du recourant sur le fond ne paraissent pas évidentes à première vue. Par conséquent, l’intérêt de l’administration à l’exécution immédiate de la décision faisant l’objet du recours l’emporte sur celui du recourant à continuer à percevoir les prestations complémentaires durant la procédure. L’issue de la procédure étant incertaine, il existe un risque important que le recourant ne puisse pas rembourser les prestations qui seraient versées à tort par l’intimé, celui-ci étant dans une situation financière difficile. Partant, la demande de restitution de l’effet suspensif sera rejetée. La suite de la procédure sera réservée.</w:t>
      </w:r>
    </w:p>
    <w:p>
      <w:r>
        <w:t>A/2506/2024 - 8/8 - PAR CES MOTIFS, LA CHAMBRE DES ASSURANCES SOCIALES : Statuant selon l’art. 21 al. 2 LPA</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