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ATAS/644/2020 vom 10. August 2020</w:t>
      </w:r>
    </w:p>
    <w:p>
      <w:r>
        <w:t>GE Cour de justice, 2020-08-10, FR</w:t>
      </w:r>
    </w:p>
    <w:p>
      <w:r>
        <w:rPr>
          <w:b/>
        </w:rPr>
        <w:t xml:space="preserve">Quelle: </w:t>
      </w:r>
      <w:r>
        <w:t>https://mcp.opencaselaw.ch/entscheid/ge_gerichte_ATAS_644_2020</w:t>
      </w:r>
    </w:p>
    <w:p>
      <w:r>
        <w:t>FR: GE_GERICHTE ATAS/644/2020 du 10 août 2020</w:t>
      </w:r>
    </w:p>
    <w:p>
      <w:r>
        <w:t>IT: GE_GERICHTE ATAS/644/2020 del 10 agosto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de la recourante à une demi-rente d’invalidité, singulièrement sur le taux de sa capacité de travail.</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w:t>
      </w:r>
    </w:p>
    <w:p>
      <w:r>
        <w:t>A/1628/2018 - 19/34 -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w:t>
      </w:r>
    </w:p>
    <w:p>
      <w:r>
        <w:t>A/1628/2018 - 20/34 - entrent déjà en considération en tant que comorbidité importante du point de vue juridique si, dans le cas concret, on doit leur attribuer un effet limitatif sur les ressources (ATF 143 V 418 consid. 8.1).</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w:t>
      </w:r>
    </w:p>
    <w:p>
      <w:r>
        <w:t>A/1628/2018 - 21/34 -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w:t>
      </w:r>
    </w:p>
    <w:p>
      <w:r>
        <w:t>A/1628/2018 - 22/34 -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w:t>
      </w:r>
    </w:p>
    <w:p>
      <w:r>
        <w:t>A/1628/2018 - 23/34 -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A/1628/2018 - 27/34 -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A/1628/2018 - 28/34 -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w:t>
      </w:r>
    </w:p>
    <w:p>
      <w:r>
        <w:rPr>
          <w:b/>
        </w:rPr>
        <w:t>E. 14</w:t>
      </w:r>
    </w:p>
    <w:p>
      <w:r>
        <w:t>En l’occurrence, la chambre de céans a estimé qu’une expertise judiciaire bidisciplinaire se justifiait, au vu des avis des médecins traitants de la recourante, qui mettaient en doute les conclusions rhumatologiques et psychiatriques du rapport d’expertise du CEMed du 14 mai 2017.</w:t>
      </w:r>
    </w:p>
    <w:p>
      <w:r>
        <w:rPr>
          <w:b/>
        </w:rPr>
        <w:t>E. 15</w:t>
      </w:r>
    </w:p>
    <w:p>
      <w:r>
        <w:t>La valeur probante de l’expertise judiciaire rhumatologique du Dr L______, du 12 novembre 2019, est admise par les parties. Celui-ci conclut à la présence de diagnostics de syndrome de Sjögren avec syndrome sec et arthralgies ainsi qu’une hyperlaxité des articulations des doigts aux mains qui n’entrainent aucune limitation fonctionnelle, de sorte que la capacité de travail de la recourante dans l’activité habituelle de secrétaire médicale est totale.</w:t>
      </w:r>
    </w:p>
    <w:p>
      <w:r>
        <w:rPr>
          <w:b/>
        </w:rPr>
        <w:t>E. 16</w:t>
      </w:r>
    </w:p>
    <w:p>
      <w:r>
        <w:t>a. S’agissant de l’expertise judiciaire psychiatrique de la Dresse M______, du 19 novembre 2019, comprenant le complément du 17 mars 2020, la recourante estime qu’elle a pleine valeur probante alors que l’intimé le conteste. b. Fondé sur trois entretiens avec la recourante (totalisant 4h30), un entretien avec la Dresse C______, comprenant une anamnèse familiale, socio-affective, professionnelle et médicale psychiatrique, la description des plaintes de la recourante ainsi que d’une journée type, un examen clinique, des diagnostics clairs et motivés, la mention des limitations fonctionnelles et leur incidence sur la capacité de travail de la recourante, les éléments permettant l’analyse des indicateurs jurisprudentiels précités, ainsi qu’une appréciation consensuelle du cas avec l’expert rhumatologue, le rapport d’expertise judiciaire de la Dresse M______ répond aux critères jurisprudentiels précités permettant de lui reconnaitre une pleine valeur probante. L’experte conclut à la présence, chez la recourante, de troubles mixtes de la personnalité (F 61.0), d’un trouble dépressif récurrent, épisode actuel léger sans syndrome somatique (F 33.0) et de somatisation (F 45.0), lesquels, pris ensemble, entrainent une limitation de la capacité de travail à 50 %, depuis 2014 (date du</w:t>
      </w:r>
    </w:p>
    <w:p>
      <w:r>
        <w:t>A/1628/2018 - 29/34 - licenciement de la recourante), en raison de troubles de la concentration, mnésiques, de la nécessité de faire des pauses fréquentes, ainsi que d’une hypersomnie diurne.</w:t>
      </w:r>
    </w:p>
    <w:p>
      <w:r>
        <w:rPr>
          <w:b/>
        </w:rPr>
        <w:t>E. 17</w:t>
      </w:r>
    </w:p>
    <w:p>
      <w:r>
        <w:t>a. Les critiques émises par l’intimé et le SMR à l’encontre de cette expertise judiciaire ne sont pas à même de mettre en doute sa valeur probante. b. Le SMR conteste la présence du diagnostic de trouble dépressif récurrent, épisode dépressif léger, au motif que les plaintes et le status psychiatrique étaient identiques lors de l’expertise judiciaire et lors de celle du Dr G______ ; la fatigue et fatigabilité n’avaient pu être constatées et le trouble mnésique et de concentration n’avaient pas non plus été objectivés ; la thymie légèrement triste pouvait relever d’une dysthymie, laquelle était définie comme chronique, ce qui était le cas en l’occurrence ; le caractère récurrent du trouble ne reposait que sur les dires du psychiatre traitant, alors qu’aucune hospitalisation n’avait eu lieu. Il y avait seulement une possible diminution du plaisir, pas de trouble de la concentration, de culpabilité, d’attitude pessimiste, d’idées suicidaires, de trouble du sommeil ou de l’appétit ; il n’y avait pas de ralentissement psychomoteur constaté. b/aa. Selon la CIM-10 (F 33), le trouble dépressif récurrent est caractérisé par la survenue répétée d’épisode dépressifs correspondant à la description d’un tel épisode, en l’absence de tout antécédent d’épisodes indépendants d’exaltation de l’humeur et d’augmentation de l’énergie (manie). L’épisode dépressif léger présuppose au moins deux ou trois des symptômes (abaissement de l’humeur, réduction de l’énergie et diminution de l’activité), lesquels s’accompagnent généralement d’un sentiment de détresse mais le sujet reste, le plus souvent capable de poursuivre la plupart de ses activités (F 32 et F 32.0). A cet égard, l’experte a expliqué que si une fatigue physique n’avait pas été mise en évidence chez la recourante, une fatigue psychique était présente. Celle-ci n’étant pas mesurable, elle n’en n’avait pas tenu compte mais elle l’avait néanmoins constatée par une attitude négligée (l’énergie pour effectuer des soins quotidiens, s’occuper de soi était lacunaire), une attitude en repli, des latences dans les réponses sans barrage et des troubles de la concentration ; toute activité envisagée était perçue comme une montagne, tout changement engendrant de l’inquiétude ; les troubles de la concentration et de la mémoire avaient été mis en évidence à l’examen clinique par le besoin de pauses et la nécessité de réfléchir et se concentrer. Un examen neuropsychologique était superflu. Ainsi, contrairement à l’avis du SMR, les troubles de la concentration et de la mémoire ont bien été objectivés par l’experte, tout comme une réduction de l’énergie. L’experte a indiqué avoir posé le diagnostic de trouble dépressif récurrent, épisode actuel léger car la recourante présentait deux critère bien présents, soit une humeur dépressive et l’absence de plaisir, à manger et en général, dans toutes les activités de la vie quotidienne ainsi qu’une absence de libido. La recourante n’avait envie de rien mais se forçait à effectuer les tâches de la vie quotidienne, ce qui ne pouvait en</w:t>
      </w:r>
    </w:p>
    <w:p>
      <w:r>
        <w:t>A/1628/2018 - 30/34 - aucun cas être considéré comme dans la norme. Enfin, un sentiment de détresse est aussi bien présent, lequel a été relevé par les experts (appréciation consensuelle de l’expertise judiciaire). Ainsi, contrairement à l’avis du SMR, la recourante ne présente pas seulement une possible diminution du plaisir, mais répond aux conditions précitées pour qu’un trouble dépressif récurrent léger soit réalisé, par la présence d’une humeur dépressive, une absence de plaisir, une réduction de l’énergie, des troubles de la concentration / mémoire et un sentiment de détresse. b/bb. S’agissant du diagnostic de dysthymie, l’experte a expliqué qu’il ne pouvait pas être retenu car celui-ci impliquait une dépression chronique de l’humeur dont la sévérité était insuffisante et dont la durée des différents épisodes était trop brève pour justifier un diagnostic de trouble dépressif récurrent léger. Or, la recourante présentait une symptomatologie dépressive survenant à plusieurs reprises dans sa vie, depuis plusieurs années, qui affectait tous les domaines de la vie quotidienne et engendrait la nécessité d’un suivi psychothérapeutique régulier. L’examen clinique n’était pas identique à celui du Dr G______ de 2017 car la dysthymie diagnostiquée à l’époque, qui s’était chronicisée, devait être convertie en un trouble dépressif récurrent, épisode actuel léger sans syndrome somatique. Contrairement à l’avis du SMR, la recourante présentait des troubles de la concentration, des idées de mort par intermittence et une perturbation du sommeil (expertise M______ p. 19). b/cc. Le SMR estime encore qu’il n’y a pas eu d’incapacité de travail ni de modification notable du traitement psychotrope et que l’isolement social et la solitude relèvent de la personnalité de la recourante. A cet égard, l’experte a indiqué que la recourante travaillait, mais seulement à 50 %, dans un poste aménagé de nombreuse pauses et qu’elle maintenait cet emploi mais n’était pas capable d’augmenter son taux d’activité. L’absence d’incapacité de travail relevée par le SMR n’est donc pas pertinente ; quant au traitement psychotrope, il avait amélioré la thymie, les troubles phobiques et anxieux mais l’amélioration n’était pas complète et un changement de traitement, vu le contexte, n’était pas préconisé. S’agissant de l’isolement social, l’experte a relevé qu’il était réalisé, la recourante n’ayant aucune vie sociale, ni affective et ne maintenait des contacts qu’avec son père, avec lequel elle vivait. Au vu des explications étayées de l’experte, il convient de constater que le diagnostic de trouble dépressif récurrent, épisode actuel léger, qu’elle retient est convaincant. c. L’intimé et le SMR estiment que l’analyse des indicateurs conclut à l’absence d’incapacité de travail. c/aa A cet égard, et préalablement, les troubles psychiques diagnostiqués résistent aux motifs d’exclusion, tels qu’une exagération ou d’autres manifestations d’un profit secondaire tiré de la maladie, la recourante étant authentique, sans signes d’exagérations manifestes (expertise M______ p. 25), avec même un manque</w:t>
      </w:r>
    </w:p>
    <w:p>
      <w:r>
        <w:t>A/1628/2018 - 31/34 - relevé d’expressivité des symptômes (expertise M______ p. 27 ; appréciation consensuelle). c/bb Concernant l’axe « atteinte à la santé », les diagnostics posés par l’experte, bien motivés et convaincants, peuvent être retenus ; on peut déduire de l’interaction des trois diagnostics posés, qui se potentialisent, un impact sur la capacité de travail de la recourante en raison des troubles mnésiques, des troubles de la concentration, de la nécessité d’avoir des pauses fréquentes et d’une hypersomnie diurne ; la recourante est dans un emploi à 50 %, au maximum de ses capacités de ressources. On peut ainsi déduire des diagnostics et symptômes retenus par l’experte un degré de gravité important de la maladie. c/cc La recourante est par ailleurs compliante à son traitement médicamenteux et psychothérapeutique, lequel a permis une amélioration sur le plan de l’humeur, des troubles phobiques et anxieux mais qui reste incomplète. L’experte a relevé qu’en raison d’un surinvestissement des traitements médicamenteux, une modification du traitement était un risque de péjoration. Selon le SMR (avis du 12 mai 2020), l’adaptation du traitement antidépresseur doit être exigible en présence d’une atteinte incapacitante. A cet égard, l’art. 21 al. 4 LPGA prévoit qu’un traitement peut être exigé d’un assuré, à certaines conditions. Il incombera ainsi à l’intimé d’examiner l’exigibilité d’une adaptation du traitement, compte tenu de l’avis de l’experte judiciaire et de la psychiatre traitante de la recourante. En l’état, la recourante étant compliante au traitement instauré, lequel est reconnu comme adéquat par l’experte (expertise M______ p. 26), qui estime même qu’il existe un surinvestissement des traitements (complément d’expertise M______ p. 7), l’échec des traitements doit être reconnu, ce d’autant que la Dresse C______ a expliqué que d’autres traitement médicamenteux avaient été tentés, sans succès (rapport du 22 juin 2020). c/dd S’agissant de l’axe « personnalité », l’experte a retenu une comorbidité, soit des troubles mixtes de la personnalité, lesquels se combinent et renforcent les autres diagnostics, en potentialisant le trouble dépressif récurrent, épisode actuel léger sans syndrome somatique ; les difficultés personnelles et interpersonnelles dues au trouble de la personnalité limitent les ressources de la recourante pour s’entourer, découvrir de nouvelles activités et de nouvelles personnes qui pourraient l’aider en retour à se décentrer de ses troubles, son existence étant figée, bloquée (expertise M______ p. 22, 24 et 25). c/ee S’agissant de l’axe « contexte social », l’experte a relevé une vie sociale inexistante ; la recourante n’a pas d’amis, n’a aucune activité sociale ni intime ; elle se contente de promener son chien deux fois par jour ; elle voit son père avec lequel elle vit mais pas sa mère, victime d’une maladie psychiatrique grave ; contrairement à l’avis du SMR (du 12 mai 2020), la recourante ne bénéficie ainsi pas du soutien de ses parents mais uniquement de son père (expertise M______ p. 5, 11 et complément d’expertise M______ p. 10), ce qui a été confirmé par la Dresse C______ (rapport du 22 juin 2020).</w:t>
      </w:r>
    </w:p>
    <w:p>
      <w:r>
        <w:t>A/1628/2018 - 32/34 - c/ff S’agissant de la cohérence, l’experte a relevé que tous les domaines de la vie de la recourante étaient touchés par les troubles retenus (expertise M______ p. 24 - 28). La journée type décrite démontre une activité de la recourante très réduite. En sus de son travail à 50 %, elle promène deux fois par jour son chien, consulte internet, et regarde la télévision. Elle n’a aucun hobby, aucune activité sociale ou récréative et aucune vie sociale (expertise M______ p. 14 et complément d’expertise M______ p. 4 et 10), ce qui a aussi été relevé par la Dresse C______ (rapport du 22 juin 2020). Le fait, relevé par le SMR, que la recourante est indépendante dans les actes de la vie quotidienne (repas, courses, toilette, déplacement), n’est pas déterminant dans le cadre de l’évaluation de sa capacité de travail, étant par ailleurs relevé que les tâches ménagères sont effectuées par le père de la recourante, celle-ci n’ayant pas l’énergie pour les assumer (expertise M______ p. 14 et complément d’expertise M______ p. 10). c/gg Enfin, contrairement à l’avis de l’intimé, l’exercice de l’activité habituelle à 50 % ne saurait être considéré comme la preuve de ressources personnelles préservées chez la recourante, la question étant précisément de savoir si celle-ci dispose de suffisamment de ressources pour augmenter cette capacité partielle de travail, ce que l’experte conteste, en relevant que la recourante est actuellement au maximum de ses capacités de ressources (complément d’expertise M______ p. 9). On ne saurait, à cet égard, suivre l’intimé qui semble considérer que toute capacité partielle de travail chez un assuré est un indice de ressources suffisantes pour travailler à plein temps. d. Au demeurant, l’analyse des indicateurs jurisprudentiels conclut à la présence, chez la recourante, d’une incapacité de travail de 50 % dans toute activité, depuis 2014.</w:t>
      </w:r>
    </w:p>
    <w:p>
      <w:r>
        <w:rPr>
          <w:b/>
        </w:rPr>
        <w:t>E. 18</w:t>
      </w:r>
    </w:p>
    <w:p>
      <w:r>
        <w:t>En conséquence, au 1er juillet 2017, soit six mois après le dépôt de la demande de prestations (du 17 janvier 2017), la recourante, dont le statut est celui d’active à 100 %, présentait, depuis plus d’une année, une incapacité de travail de 50 %, laquelle entraine un degré d’invalidité de 50 %, le degré d’invalidité se confondant avec celui de l’incapacité de travail, vu l’activité adaptée de secrétaire médicale exercée par la recourante à 50 %. Ce taux ouvre le droit à une demi-rente d’invalidité.</w:t>
      </w:r>
    </w:p>
    <w:p>
      <w:r>
        <w:rPr>
          <w:b/>
        </w:rPr>
        <w:t>E. 19</w:t>
      </w:r>
    </w:p>
    <w:p>
      <w:r>
        <w:t>Partant, le recours sera admis, la décision litigieuse annulée et il sera dit que la recourante a droit à une demi-rente d’invalidité depuis le 1er juillet 2017.</w:t>
      </w:r>
    </w:p>
    <w:p>
      <w:r>
        <w:rPr>
          <w:b/>
        </w:rPr>
        <w:t>E. 20</w:t>
      </w:r>
    </w:p>
    <w:p>
      <w:r>
        <w:t>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w:t>
      </w:r>
    </w:p>
    <w:p>
      <w:r>
        <w:t>A/1628/2018 - 33/34 - Etant donné que, depuis le 1er juillet 2006, la procédure n'est plus gratuite (art. 69 al. 1bis LAI), au vu du sort du recours, il y a lieu de condamner l'intimé au paiement d'un émolument de CHF 200.-.</w:t>
      </w:r>
    </w:p>
    <w:p>
      <w:r>
        <w:t>A/1628/2018 - 34/34 -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