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ATAS/644/2011 vom 22. Juni 2011</w:t>
      </w:r>
    </w:p>
    <w:p>
      <w:r>
        <w:t>GE Cour de justice, 2011-06-22, FR</w:t>
      </w:r>
    </w:p>
    <w:p>
      <w:r>
        <w:rPr>
          <w:b/>
        </w:rPr>
        <w:t xml:space="preserve">Quelle: </w:t>
      </w:r>
      <w:r>
        <w:t>https://mcp.opencaselaw.ch/entscheid/ge_gerichte_ATAS_644_2011</w:t>
      </w:r>
    </w:p>
    <w:p>
      <w:r>
        <w:t>FR: GE_GERICHTE ATAS/644/2011 du 22 juin 2011</w:t>
      </w:r>
    </w:p>
    <w:p>
      <w:r>
        <w:t>IT: GE_GERICHTE ATAS/644/2011 del 22 giugno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a) Lorsqu'un cas de prévoyance est déjà survenu pour l'un des époux, le partage de la prestation de sortie ne peut être effectué par la caisse de prévoyance au sens de l'art. 141 CC (ATF 133 V 288 consid. 4.2 p. 292). Une indemnité équitable est due lorsqu'un cas de prévoyance est survenu pour l'un des époux ou pour les deux ou que les prétentions en matière de prévoyance professionnelle acquises durant le mariage ne peuvent être partagées pour d'autres motifs (art. 124 al. 1 CC). Le jugement de divorce peut prescrire qu'une partie de la prestation de sortie sera imputée sur l'indemnité équitable (art. 22b al. 1 LFLP). Cette forme de paiement présuppose qu'une prestation de sortie, ou une partie de celle-ci, est encore disponible et que - selon l'appréciation du juge du divorce - l'attribution d'une rente ou d'un capital n'entre pas en considération en raison de la situation financière de l'époux débiteur (ATF 129 III 481 consid. 3.2 p. 484 ss et 3.4 p. 487 s.). Le moment déterminant pour décider si un cas de prévoyance est survenu est l'entrée en force du prononcé de divorce (ATF 132 III 401).</w:t>
      </w:r>
    </w:p>
    <w:p>
      <w:r>
        <w:rPr>
          <w:b/>
        </w:rPr>
        <w:t>E. 4</w:t>
      </w:r>
    </w:p>
    <w:p>
      <w:r>
        <w:t>En l’espèce, un cas de prévoyance est survenu avant l’entrée en force du jugement de divorce sous la forme de la retraite de la demanderesse et l'octroi d'une rente à</w:t>
      </w:r>
    </w:p>
    <w:p>
      <w:r>
        <w:t>A/653/2011 4/5 compter du 1er septembre 2010. Partant, au vu de ce qui a été exposé ci-dessus, le partage n’est plus possible. Par conséquent, il convient de constater l’impossibilité du partage ordonné par le Tribunal de première instance. Conformément à la jurisprudence récente en la matière, il y a dès lors lieu de lui transmettre d'office la cause comme objet de sa compétence, afin qu’il statue sur l’octroi d’une indemnité équitable (cf. ATF 136 V 225 consid. 5.3. p. 227 ss).</w:t>
      </w:r>
    </w:p>
    <w:p>
      <w:r>
        <w:rPr>
          <w:b/>
        </w:rPr>
        <w:t>E. 5</w:t>
      </w:r>
    </w:p>
    <w:p>
      <w:r>
        <w:t>La procédure est gratuite.</w:t>
      </w:r>
    </w:p>
    <w:p>
      <w:r>
        <w:t>A/653/2011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