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ATAS/643/2015 vom 27. August 2015</w:t>
      </w:r>
    </w:p>
    <w:p>
      <w:r>
        <w:t>GE Cour de justice, 2015-08-27, FR</w:t>
      </w:r>
    </w:p>
    <w:p>
      <w:r>
        <w:rPr>
          <w:b/>
        </w:rPr>
        <w:t xml:space="preserve">Quelle: </w:t>
      </w:r>
      <w:r>
        <w:t>https://mcp.opencaselaw.ch/entscheid/ge_gerichte_ATAS_643_2015</w:t>
      </w:r>
    </w:p>
    <w:p>
      <w:r>
        <w:t>FR: GE_GERICHTE ATAS/643/2015 du 27 août 2015</w:t>
      </w:r>
    </w:p>
    <w:p>
      <w:r>
        <w:t>IT: GE_GERICHTE ATAS/643/2015 del 27 agosto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w:t>
      </w:r>
    </w:p>
    <w:p>
      <w:r>
        <w:t>A/3482/2014 - 10/17 -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Sur le plan matériel, le droit applicable est celui en vigueur au moment où les faits juridiquement déterminants se sont produits (Thierry TANQUEREL, Manuel du droit administratif, 2011, n. 403 p. 132; Benoît BOVAY, Procédure administrative, 2000, p. 196; ATF 130 V 230 consid. 1.1; ATF 335 consid. 1.2; ATF 129 V 4 consid. 1.2; ATF 127 V 467 consid. 1; ATF 126 V 136 consid. 4b et les références). En l'espèce, l'objet du litige porte sur une demande de prestations du 8 juin 2012 de sorte que sont applicables les modifications de la LAI du 21 mars 2003 (4ème révision), entrées en vigueur le 1er janvier 2004, et celles du 6 octobre 2006 (5ème révision), entrées en vigueur le 1er janvier 2008, ainsi que les modifications de la LAI du 18 mars 2011 (révision 6a), entrées en vigueur le 1er janvier 2012.</w:t>
      </w:r>
    </w:p>
    <w:p>
      <w:r>
        <w:rPr>
          <w:b/>
        </w:rPr>
        <w:t>E. 3</w:t>
      </w:r>
    </w:p>
    <w:p>
      <w:r>
        <w:t>Interjeté dans le délai de 30 jours et dans la forme prescrite, le recours est recevable (art. 59, 60 al. 1 et 61 let. b LPGA).</w:t>
      </w:r>
    </w:p>
    <w:p>
      <w:r>
        <w:rPr>
          <w:b/>
        </w:rPr>
        <w:t>E. 4</w:t>
      </w:r>
    </w:p>
    <w:p>
      <w:r>
        <w:t>L'objet du litige est déterminé par la décision de l'OAI du 14 octobre 2014. Il porte sur l'existence ou non d'une atteinte à la santé de la recourante entraînant une incapacité de travail lui donnant droit aux prestations de l'assurance-invalidité.</w:t>
      </w:r>
    </w:p>
    <w:p>
      <w:r>
        <w:rPr>
          <w:b/>
        </w:rPr>
        <w:t>E. 4.1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depuis le 1er janvier 2008).</w:t>
      </w:r>
    </w:p>
    <w:p>
      <w:r>
        <w:rPr>
          <w:b/>
        </w:rPr>
        <w:t>E. 4.2</w:t>
      </w:r>
    </w:p>
    <w:p>
      <w:r>
        <w:t>Aux termes de l'art. 28 al. 1 LAI, l'assuré a droit à une rente aux conditions suivantes :</w:t>
      </w:r>
    </w:p>
    <w:p>
      <w:r>
        <w:t>A/3482/2014 - 11/17 - a. sa capacité de gain ou sa capacité d'accomplir ses travaux habituels ne peut pas être rétablie, maintenue ou améliorée par des mesures de réadaptation raisonnablement exigibles ; b. il a présenté une incapacité de travail (art. 6 LPGA) d'au moins 40 % en moyenne durant une année sans interruption notable ; c. au terme de cette année, il est invalide (art. 8 LPGA) à 40 % au moins.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4.3</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de l'ancien Tribunal fédéral des assurances I 654/00 du 9 avril 2001 consid. 1). Lorsque, 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ATF 105 V 158 consid. 1; arrêt de l'ancien Tribunal fédéral des assurances I 449/01 du 27 décembre 2001 consid. 2a).</w:t>
      </w:r>
    </w:p>
    <w:p>
      <w:r>
        <w:rPr>
          <w:b/>
        </w:rPr>
        <w:t>E. 5</w:t>
      </w:r>
    </w:p>
    <w:p>
      <w:r>
        <w:t>mars 2009 consid. 2.2; 9C_986/2008 du 29 mai 2009, consid. 4.2 et 4.3).</w:t>
      </w:r>
    </w:p>
    <w:p>
      <w:r>
        <w:rPr>
          <w:b/>
        </w:rPr>
        <w:t>E. 5.1</w:t>
      </w:r>
    </w:p>
    <w:p>
      <w:r>
        <w:t>Sans remettre en cause le principe de la libre appréciation des preuves, le Tribunal fédéral des assurances a fixé des lignes directrices en ce qui concerne</w:t>
      </w:r>
    </w:p>
    <w:p>
      <w:r>
        <w:t>A/3482/2014 - 12/17 - la manière d'apprécier certains types d'expertises ou de rapports médicaux. Ainsi, en principe, lorsqu’au stade de la procédure administrative, une expertise confiée à un médecin indépendant est effectuée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impérieux des conclusions d'une expertise médicale judiciaire, la tâche de l'expert étant précisément de mettre ses connaissances spéciales à la disposition de la justice afin de l'éclairer sur les aspects médicaux d'un état de fait donné.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arrêt du Tribunal fédéral 9C_904/2010 du 20 juin 2011, consid. 3.2). Le juge peut accorder une pleine valeur probante aux rapports et expertises établis par les médecins d'un assureur social aussi longtemps qu'ils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toutefois lieu de poser des exigences sévères quant à l'impartialité de l'expert (ATF 125 V 351 consid. 3b/ee).</w:t>
      </w:r>
    </w:p>
    <w:p>
      <w:r>
        <w:rPr>
          <w:b/>
        </w:rPr>
        <w:t>E. 5.2</w:t>
      </w:r>
    </w:p>
    <w:p>
      <w:r>
        <w:t>Une expertise médicale établie sur la seule base d'un dossier peut avoir valeur probante pour autant que celui-ci contienne suffisamment d'appréciations médicales qui, elles, se fondent sur un examen personnel de l'assuré (cf. RAMA 2001 n° U 438 p. 346 consid. 3d).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w:t>
      </w:r>
    </w:p>
    <w:p>
      <w:r>
        <w:t>A/3482/2014 - 13/17 -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134 V 231 consid. 5.1 p. 232; 133 V 469 consid. 11.1.3; 125 V 351 consid. 3a) qui permettent de leur reconnaître une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135 V 465 consid. 4.6 p. 471; arrêt du Tribunal fédéral 9C_369/2008 du</w:t>
      </w:r>
    </w:p>
    <w:p>
      <w:r>
        <w:rPr>
          <w:b/>
        </w:rPr>
        <w:t>E. 5.3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Aussi n’existe-t- il pas, en droit des assurances sociales, un principe selon lequel l’administration ou le juge devrait, dans le doute, statuer en faveur de l’assuré (ATF 126 V 319 consid. 5a). Conformément au principe inquisitoire qui régit la procédure dans le domaine des assurances sociales, les autorités administratives et les juges des assurances sociales doivent procéder à des investigations supplémentaires ou en ordonner lorsqu'elles se justifient eu égard aux griefs invoqués par les parties ou aux indices résultant du dossier. Ils ne peuvent ignorer des griefs pertinents pour la seule raison qu'ils n'auraient pas été prouvés (VSI 5/1994 220 consid. 4a). En particulier, ils doivent mettre en œuvre une expertise lorsqu'il apparaît nécessaire de clarifier des aspects médicaux du cas (ATF 117 V 283 consid. 4a; RAMA 1985 p. 240 consid. 4; arrêt de l'ancien Tribunal fédéral des assurances I 751/03 du 19 mars 2004 consid. 3.3).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w:t>
      </w:r>
    </w:p>
    <w:p>
      <w:r>
        <w:t>A/3482/2014 - 14/17 - plus modifier cette appréciation, il est superflu d’administrer d’autres preuves (appréciation anticipée des preuves; ATF 122 II 464 consid. 4a; ATF 122 III 219 consid. 3c). Une telle manière de procéder ne viole pas le droit d’être entendu selon l’art. 29 al. 2 Cst (SVR 2001 IV n. 10 p. 28 consid. 4b). Le choix de suivre les conclusions d'une expertise, et non pas celles des médecins mandatés par l'assuré, à propos des atteintes diagnostiquées et de leur répercussion sur la capacité de travail relève ainsi de la libre appréciation des preuves (arrêt du Tribunal fédéral 9C_980/2012 du 4 juin 2013 consid. 3.2).</w:t>
      </w:r>
    </w:p>
    <w:p>
      <w:r>
        <w:rPr>
          <w:b/>
        </w:rPr>
        <w:t>E. 6</w:t>
      </w:r>
    </w:p>
    <w:p>
      <w:r>
        <w:t>En l'espèce, il n'est pas contesté qu'après son retour d'un voyage en Asie, en octobre 2007, la recourante a été diagnostiquée, en mai 2008, comme souffrant d'une sarcoïdose pulmonaire et d'une fibrillation auriculaire récidivante, qui a ultérieurement nécessité trois ablations successives, par radiofréquence, en avril 2011, en janvier 2011 et en décembre 2012. A l'exception du médecin traitant de la recourante, tous les autres médecins qui l'ont suivie et examinée dès 2007, à son retour d'Asie, ont conclu qu'elle disposait d'une capacité de travail pleine et entière sous réserve d'arrêts de travail ponctuels prescrits notamment en novembre 2007 pour un état d’épuisement dû à une toux insomniante, en janvier 2008 pour une bronchite aiguë, puis en 2009 et 2010 selon certificat de son médecin traitant, étant précisé que la recourante n'a plus exercé d'activité professionnelle depuis le 1er janvier 2010, suite à son licenciement par le GIAP. Compte tenu des rapports médicaux établis par les médecins des HUG, par le médecin mandaté par l'AGP, ainsi que de l'expertise pluridisciplinaire réalisée de manière approfondie par le CEMed en septembre et octobre 2013, le SMR a, à juste titre, conclu que la recourante présentait une capacité de travail entière dans une activité adaptée à ses limitations fonctionnelles consistant à devoir ménager ses efforts physiques lourds et le port de charges (consid. 17 de la partie en fait ci- dessus). Pour sa part, le médecin traitant de la recourante s'est borné - dans ses courriers du 20 mars 2014 à l'OAI et du 5 janvier 2015 à l'ASSUAS - à préciser le diagnostic qu'il avait posé pour sa patiente, soit le même diagnostic que tous les autres médecins l'ayant suivie - pour conclure à une incapacité totale de travail dans sa profession de traductrice, respectivement, à des limitations fonctionnelles dues à une diminution de concentration et de rendement, sans autres précisions médicales permettant d'établir le bien-fondé d'une telle appréciation.</w:t>
      </w:r>
    </w:p>
    <w:p>
      <w:r>
        <w:rPr>
          <w:b/>
        </w:rPr>
        <w:t>E. 7</w:t>
      </w:r>
    </w:p>
    <w:p>
      <w:r>
        <w:t>La recourante reproche à l'autorité intimée de n'avoir pas pris en considération ses observations selon lesquelles l'expertise du CEMed contiendrait des erreurs, notamment en retenant qu'elle avait “exercé une activité d'enseignante-traductrice” alors qu'elle n'avait jamais travaillé comme enseignante mais comme animatrice, et</w:t>
      </w:r>
    </w:p>
    <w:p>
      <w:r>
        <w:t>A/3482/2014 - 15/17 - qu'il lui arrivait rarement de travailler comme interprète à la demande de quelques institutions étatiques, sans avoir pour autant exercé cette profession à temps partiel. Cet argument tombe à faux. Que le CEMed confonde son activité parascolaire auprès du GIAP avec une activité d'enseignante ne modifie en rien le fait qu'elle dispose d’une capacité entière pour une activité adaptée à ses limitations fonctionnelles. Dans son “curriculum vitae”, produit à l'autorité, la recourante indique être “zootechnicienne/traductrice/animatrice”, mentionnant avoir fonctionné comme traductrice de 1991 à 2007, soit durant seize ans, et de 2001 à 2007 comme animatrice parascolaire au GIAP, pour un taux d'activité de 23%. Il ressort de ce “curriculum vitae” que, de langue maternelle albanaise, la recourante dispose d'une bonne maîtrise de l'espagnol, de l'italien et du français, et de bonnes connaissances d'anglais et de portugais. Il n'apparaît ainsi ni erroné ni déraisonnable de la part du CEMed de déduire de l'ensemble de ces éléments que la recourante dispose d'une capacité totale de travail, notamment pour une activité de traductrice, adaptée à ses limitations fonctionnelles.</w:t>
      </w:r>
    </w:p>
    <w:p>
      <w:r>
        <w:rPr>
          <w:b/>
        </w:rPr>
        <w:t>E. 8</w:t>
      </w:r>
    </w:p>
    <w:p>
      <w:r>
        <w:t>C'est également à tort que la recourante reproche à l'autorité intimée de n'avoir pas tenu compte des remarques qu'elle a formulées à la suite du projet de décision qui lui a été soumis et d'avoir mal évalué sa situation. En estimant que l’expertise et les rapports médicaux mettent plutôt en évidence que ses problèmes de santé la limitent physiquement, intellectuellement et psychiquement et que les multiples interventions et leurs séquelles ont contribué à la dégradation générale de son état de santé, la recourante ne fait que substituer ses propres appréciations et interprétations à celles du CEMed, du SMR et de l'autorité intimée, sans au demeurant aborder le contenu de l'expertise ni argumenter sur sa capacité concrète de travail au sens de la LAI. Sur ce point, la chambre de céans observe que, hormis l'opinion isolée de son médecin traitant, les avis et rapports médicaux établis par les différents corps médicaux, particulièrement par les médecins des différents services des HUG, ne présentent aucune contradiction ni différences d'appréciation par rapport à l'expertise pluridisciplinaire du CEMed et à l'avis du SMR. Au vu des règles et principes jurisprudentiels sur la valeur probante d’une expertise ou d'un rapport médical, aucun élément objectif du dossier ne permet de mettre en cause les conclusions médicales des médecins des HUG et de l'interniste mandaté par l'APG, ni de l'expertise réalisée de manière complète par le CEMed. C'est dès lors à bon droit que l'autorité intimée s'est fondée sur cette expertise pluridisciplinaire du CEMed et sur l'avis du SMR pour refuser des prestations AI à la recourante, considérant qu'elle ne souffrait d'aucune atteinte à la santé invalidante au sens de l'AI.</w:t>
      </w:r>
    </w:p>
    <w:p>
      <w:r>
        <w:rPr>
          <w:b/>
        </w:rPr>
        <w:t>E. 9</w:t>
      </w:r>
    </w:p>
    <w:p>
      <w:r>
        <w:t>Le recours sera rejeté et la décision querellée confirmée.</w:t>
      </w:r>
    </w:p>
    <w:p>
      <w:r>
        <w:t>A/3482/2014 - 16/17 - Dit qu’il n’est pas perçu d’émolument. Vu l'issue du litige, il n'est pas alloué d'indemnité.</w:t>
      </w:r>
    </w:p>
    <w:p>
      <w:r>
        <w:t>A/3482/2014 - 17/17 -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