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ATAS/643/2014 vom 26. Mai 2014</w:t>
      </w:r>
    </w:p>
    <w:p>
      <w:r>
        <w:t>GE Cour de justice, 2014-05-26, FR</w:t>
      </w:r>
    </w:p>
    <w:p>
      <w:r>
        <w:rPr>
          <w:b/>
        </w:rPr>
        <w:t xml:space="preserve">Quelle: </w:t>
      </w:r>
      <w:r>
        <w:t>https://mcp.opencaselaw.ch/entscheid/ge_gerichte_ATAS_643_2014</w:t>
      </w:r>
    </w:p>
    <w:p>
      <w:r>
        <w:t>FR: GE_GERICHTE ATAS/643/2014 du 26 mai 2014</w:t>
      </w:r>
    </w:p>
    <w:p>
      <w:r>
        <w:t>IT: GE_GERICHTE ATAS/643/2014 del 26 maggio 2014</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w:t>
      </w:r>
    </w:p>
    <w:p>
      <w:r>
        <w:t>A/687/2013 - 12/24 - correspondantes avant l'entrée en vigueur de la LPGA; il n'en découle aucune modification du point de vue de leur contenu, de sorte que la jurisprudence développée à leur propos peut être reprise et appliquée (ATF 130 V 345 consid. 3).</w:t>
      </w:r>
    </w:p>
    <w:p>
      <w:r>
        <w:t>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w:t>
      </w:r>
    </w:p>
    <w:p>
      <w:r>
        <w:t>En l'espèce, l'objet du litige porte sur une demande de prestations du 5 mai 2009 et une décision de refus de prestations de l'intimé du 24 janvier 2013 de sorte que sont applicables les modifications de la LAI du 21 mars 2003 (4ème révision), entrées en vigueur le 1er janvier 2004, celles du 6 octobre 2006 (5ème révision), entrées en vigueur le 1er janvier 2008 et celles de la LAI du 18 mars 2011 (révision 6a), entrées en vigueur le 1er janvier 2012 pour les faits postérieurs à cette date.</w:t>
      </w:r>
    </w:p>
    <w:p>
      <w:r>
        <w:rPr>
          <w:b/>
        </w:rPr>
        <w:t>E. 3</w:t>
      </w:r>
    </w:p>
    <w:p>
      <w:r>
        <w:t>Le délai de recours est de 30 jours (art. 60 al. 1 LPGA). Interjeté dans la forme et le délai prévus par la loi, le recours est recevable, en vertu des art. 56ss LPGA.</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A/687/2013 - 13/24 -</w:t>
      </w:r>
    </w:p>
    <w:p>
      <w:r>
        <w:t>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Cette réglementation n'est toutefois pas applicable dans les cas où le délai d'attente a commencé à courir avant le 1er janvier 2008 (ATF non publié 9C_583/2010 du 22 septembre 2011, consid. 4.1). Dans cette hypothèse et lorsque la demande a été déposée avant le 1er janvier 2009 (cf. Lettre-circulaire n° 300 de l'OFAS du 15 juillet 2011, Droit transitoire: application des délais de péremption), la solution prévue par l’art. 48al.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w:t>
      </w:r>
    </w:p>
    <w:p>
      <w:r>
        <w:rPr>
          <w:b/>
        </w:rPr>
        <w:t>E. 6</w:t>
      </w:r>
    </w:p>
    <w:p>
      <w:r>
        <w:t>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w:t>
      </w:r>
    </w:p>
    <w:p>
      <w:r>
        <w:t>A/687/2013 - 14/24 -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t>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w:t>
      </w:r>
    </w:p>
    <w:p>
      <w:r>
        <w:t>A/687/2013 - 15/24 - si cette éventualité présente un degré de vraisemblance prépondérante (ATF 125 V 150 consid. 2c, ATF 117 V 194 consid. 3b et les références).</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RAI, l’augmentation de la rente prend effet, si la révision est demandée par l’assuré, au plus tôt dès le mois où cette demande est présentée (al. 1 let. a), si la révision a lieu d’office, dès le mois pour lequel celle-ci avait été prévue (al. 1 let. b).</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w:t>
      </w:r>
    </w:p>
    <w:p>
      <w:r>
        <w:t>A/687/2013 - 16/24 - exprimées, qu'il ait été établi en pleine connaissance du dossier (anamnèse), que la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A/687/2013 - 17/24 -</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8</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t>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w:t>
      </w:r>
    </w:p>
    <w:p>
      <w:r>
        <w:t>A/687/2013 - 18/24 - les constatations qui peuvent être faites à l'occasion d'un stage d'observation professionnelle, qui sont susceptibles d’être influencées par des éléments subjectifs liés au comportement de l'assuré pendant le stage (ATF non publié 9C_462/2009 du 2 décembre 2009, consid. 2.4).</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w:t>
      </w:r>
    </w:p>
    <w:p>
      <w:r>
        <w:t>A/687/2013 - 19/24 - manière de procéder ne viole pas le droit d’être entendu selon l’art. 29 al. 2 Cst (SVR 2001 IV n. 10 p. 28 consid. 4b).</w:t>
      </w:r>
    </w:p>
    <w:p>
      <w:r>
        <w:rPr>
          <w:b/>
        </w:rPr>
        <w:t>E. 10</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w:t>
      </w:r>
    </w:p>
    <w:p>
      <w:r>
        <w:t>c) Quant au revenu d'invalide, il doit être évalué avant tout en fonction de la situation professionnelle concrète de l'intéressé. Lorsque l'assuré n'a pas repris</w:t>
      </w:r>
    </w:p>
    <w:p>
      <w:r>
        <w:t>A/687/2013 - 20/24 -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d'employée de bureau, le critère du taux d'occupation n'a guère d'importance (ATF du 30 avril 2012 9C 751/2011).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w:t>
      </w:r>
    </w:p>
    <w:p>
      <w:r>
        <w:t>A/687/2013 - 21/24 -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w:t>
      </w:r>
    </w:p>
    <w:p>
      <w:r>
        <w:t>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w:t>
      </w:r>
    </w:p>
    <w:p>
      <w:r>
        <w:t>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w:t>
      </w:r>
    </w:p>
    <w:p>
      <w:r>
        <w:t>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11</w:t>
      </w:r>
    </w:p>
    <w:p>
      <w:r>
        <w:t>a) En l'espèce, la chambre de céans a considéré, dans son ordonnance d’expertise du 29 octobre 2013, que l’expertise neurologique du Dr N______ du 1er avril 2010 était probante, le recourant étant reconnu capable de travailler à 100 % dans une activité simple, routinière et pouvant être interrompue sans préavis et que, du point de vue psychiatrique, le recourant ne présentait pas de limitations fonctionnelles, conformément à l’avis du Dr O______ du 29 juillet 2013. L’expertise judiciaire rhumatologique, dont la valeur probante est admise par les parties, conclut à une capacité de travail totale du recourant depuis juin 2006 dans une activité adaptée soit une activité légère, plutôt assise, avec possibilité de changer de position.</w:t>
      </w:r>
    </w:p>
    <w:p>
      <w:r>
        <w:t>A/687/2013 - 22/24 - Le recourant a fait valoir, dans le cadre de sa nouvelle demande de prestations, postérieure à la décision de l’intimé du 17 mars 2008, une incapacité de travail totale depuis le 17 juin 2008. Or, au vu des avis médicaux précités, les limitations fonctionnelles admises permettent l’exigibilité d’une activité adaptée, exercée à 100 % dès juin 2006, hormis une période d’incapacité de travail totale de juin 2008 à janvier 2009, le SMR ayant considéré, à la suite de l’avis du Dr N______ du 2 septembre 2010, qu’une incapacité de travail se justifiait pour des raisons neurologiques durant cette période ; il s’est basé pour cela sur le fait que dès février 2009 la fréquence des épisodes de crises d’épilepsie était stationnaire et correspondait aux limitations fonctionnelles retenues par le Dr N______. Or, aucun élément médical au dossier ne permet de remettre en cause cette appréciation. Il sera ainsi retenu que le recourant est capable d’exercer une activité adaptée à son état de santé à 100 % depuis janvier 2009. b) Le recourant estime qu’il convient néanmoins de tenir compte d’une diminution de rendement de 30 %, compte tenu des atteintes rhumatologiques, neurologiques et psychiatriques. Cette conclusion ne saurait être suivie dès lors qu’aucune limitation psychiatrique n’est attestée, que les limitations neurologiques font uniquement référence à une activité à 100 % légère pouvant être interrompue sans préavis (au vu du risque lié aux crises d’épilepsie) et que les limitations rhumatologiques permettent également une activité adaptée à 100 %. Par ailleurs, les limitations fonctionnelles retenues sont prises en compte dans le cadre de l’abattement de 15 % opéré par l’intimé sur le calcul du revenu d’invalide du recourant. A cet égard, le recourant estime qu’un abattement de 25 % doit être effectué au lieu de 15 %, compte tenu de ses limitations fonctionnelles, de son âge et de son expérience professionnelle limitée à l’activité de maçon et de nettoyeur. Cette conclusion ne saurait non plus être suivie dès lors que l’abattement de 15 % tient suffisamment compte des limitations fonctionnelles, lesquelles ne sont pas d’une importance telle qu’elles justifieraient un abattement supplémentaire, de l’âge du recourant et des longues années de service, étant relevé par ailleurs que celui-ci est au bénéfice d’une autorisation d’établissement C et est reconnu capable de travailler à 100 %. c) Au vu de ce qui précède, le calcul du taux d’invalidité de l’intimé ne peut qu’être confirmé : soit un revenu sans invalidité 2007 de CHF 78'231.- et un revenu d’invalidité 2007 de CHF 51'142.- (ESS 2006 – indexé en 2007 – TA1 – niveau 4 pour un horaire de 41,7 heures par semaine, avec un abattement de 15 %). Le taux d’invalidité est ainsi de 35 %, lequel n’ouvre pas droit à une rente.</w:t>
      </w:r>
    </w:p>
    <w:p>
      <w:r>
        <w:t>A/687/2013 - 23/24 - En particulier, la situation du recourant ne s’est pas modifiée depuis la dernière décision de l’intimé, entrée en force, du 17 mars 2008, dans une mesure telle qu’elle justifierait la révision de la décision de refus de toute prestation. Le recourant requiert aussi l’octroi de mesures professionnelles. Il ne conclut pas spécifiquement à l’octroi d’un reclassement professionnel, lequel n’est d’ailleurs pas accordé si la capacité de gain ne peut être maintenue ou améliorée par ce biais (art. 6 al. 1 LAI). En l’occurrence, le recourant, sans formation professionnelle, a bénéficié d’une orientation professionnelle aux EPI du 2 mai au 29 juillet 2011, laquelle a conclu à une capacité de travail du recourant dans une activité industrielle légère, simple et répétitive. Il ne se justifie pas d’octroyer au recourant, dans ces conditions, une mesure de reclassement, étant relevé que selon la décision litigieuse, l’intimé a proposé d’examiner, sur demande du recourant, une aide au placement.</w:t>
      </w:r>
    </w:p>
    <w:p>
      <w:r>
        <w:rPr>
          <w:b/>
        </w:rPr>
        <w:t>E. 12</w:t>
      </w:r>
    </w:p>
    <w:p>
      <w:r>
        <w:t>Au vu de ce qui précède, le recours ne peut qu’être rejeté. Etant donné que, depuis le 1er juillet 2006, la procédure n'est plus gratuite (art. 69 al. 1bis LAI), au vu du sort du recours, il y a lieu de condamner le recourant au paiement d'un émolument de CHF 200.-.</w:t>
      </w:r>
    </w:p>
    <w:p>
      <w:r>
        <w:t>A/687/2013 - 24/24 -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