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ATAS/642/2016 vom 18. August 2016</w:t>
      </w:r>
    </w:p>
    <w:p>
      <w:r>
        <w:t>GE Cour de justice, 2016-08-18, FR</w:t>
      </w:r>
    </w:p>
    <w:p>
      <w:r>
        <w:rPr>
          <w:b/>
        </w:rPr>
        <w:t xml:space="preserve">Quelle: </w:t>
      </w:r>
      <w:r>
        <w:t>https://mcp.opencaselaw.ch/entscheid/ge_gerichte_ATAS_642_2016</w:t>
      </w:r>
    </w:p>
    <w:p>
      <w:r>
        <w:t>FR: GE_GERICHTE ATAS/642/2016 du 18 août 2016</w:t>
      </w:r>
    </w:p>
    <w:p>
      <w:r>
        <w:t>IT: GE_GERICHTE ATAS/642/2016 del 18 agosto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w:t>
      </w:r>
    </w:p>
    <w:p>
      <w:r>
        <w:t>A/435/2016 3/4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w:t>
      </w:r>
    </w:p>
    <w:p>
      <w:r>
        <w:rPr>
          <w:b/>
        </w:rPr>
        <w:t>E. 4</w:t>
      </w:r>
    </w:p>
    <w:p>
      <w:r>
        <w:t>Selon les documents produits, la prestation acquise pendant le mariage par le demandeur est de CHF 3'303.45 (CHF 316.20 + CHF 2'987.25), tandis que la demanderesse ne bénéficie d'un avoir de vieillesse. Ainsi le demandeur doit à son ex-épouse le montant de CHF 1'651.73 (CHF 3'303.45 : 2). Dans la mesure où la demanderesse n'a pas communiqué à la chambre de céans les coordonnés de son compte de libre passage, la somme lui revenant sera versée sur un compte à ouvrir auprès de la Fondation institution supplétive LPP, administration des comptes de libre passage, à Zurich.</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A/435/2016 4/4</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