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ATAS/642/2011 vom 20. Juni 2011</w:t>
      </w:r>
    </w:p>
    <w:p>
      <w:r>
        <w:t>GE Cour de justice, 2011-06-20, FR</w:t>
      </w:r>
    </w:p>
    <w:p>
      <w:r>
        <w:rPr>
          <w:b/>
        </w:rPr>
        <w:t xml:space="preserve">Quelle: </w:t>
      </w:r>
      <w:r>
        <w:t>https://mcp.opencaselaw.ch/entscheid/ge_gerichte_ATAS_642_2011</w:t>
      </w:r>
    </w:p>
    <w:p>
      <w:r>
        <w:t>FR: GE_GERICHTE ATAS/642/2011 du 20 juin 2011</w:t>
      </w:r>
    </w:p>
    <w:p>
      <w:r>
        <w:t>IT: GE_GERICHTE ATAS/642/2011 del 20 giugno 2011</w:t>
      </w:r>
    </w:p>
    <w:p>
      <w:pPr>
        <w:pStyle w:val="Heading2"/>
      </w:pPr>
      <w:r>
        <w:t>Regeste</w:t>
      </w:r>
    </w:p>
    <w:p>
      <w:r>
        <w:t>Résumé: En matière d'assurance-invalidité,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Ainsi, des indices d'une modification suffisent pour que l'autorité entre en matière sur la demande. Ces indices doivent toutefois être allégués par l'assuré.</w:t>
      </w:r>
    </w:p>
    <w:p>
      <w:pPr>
        <w:pStyle w:val="Heading2"/>
      </w:pPr>
      <w:r>
        <w:t>Erwägungen</w:t>
      </w:r>
    </w:p>
    <w:p>
      <w:r>
        <w:rPr>
          <w:b/>
        </w:rPr>
        <w:t>E. 25</w:t>
      </w:r>
    </w:p>
    <w:p>
      <w:r>
        <w:t>juin 2010 et une nouvelle décision. 5.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Une indemnité de 1'500 fr. sera allouée à la recourante, à charge de l'intimé.</w:t>
      </w:r>
    </w:p>
    <w:p>
      <w:r>
        <w:t>A/4382/2010 - 11/11 -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