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ATAS/642/2010 vom 7. Juni 2010</w:t>
      </w:r>
    </w:p>
    <w:p>
      <w:r>
        <w:t>GE Cour de justice, 2010-06-07, FR</w:t>
      </w:r>
    </w:p>
    <w:p>
      <w:r>
        <w:rPr>
          <w:b/>
        </w:rPr>
        <w:t xml:space="preserve">Quelle: </w:t>
      </w:r>
      <w:r>
        <w:t>https://mcp.opencaselaw.ch/entscheid/ge_gerichte_ATAS_642_2010</w:t>
      </w:r>
    </w:p>
    <w:p>
      <w:r>
        <w:t>FR: GE_GERICHTE ATAS/642/2010 du 7 juin 2010</w:t>
      </w:r>
    </w:p>
    <w:p>
      <w:r>
        <w:t>IT: GE_GERICHTE ATAS/642/2010 del 7 giugno 2010</w:t>
      </w:r>
    </w:p>
    <w:p>
      <w:pPr>
        <w:pStyle w:val="Heading2"/>
      </w:pPr>
      <w:r>
        <w:t>Erwägungen</w:t>
      </w:r>
    </w:p>
    <w:p>
      <w:r>
        <w:rPr>
          <w:b/>
        </w:rPr>
        <w:t>E. 1</w:t>
      </w:r>
    </w:p>
    <w:p>
      <w:r>
        <w:t>a)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b) A teneur de l’art. 58 al. 1 LPGA, le tribunal des assurances compétent est celui du canton de domicile de l’assuré ou d’une autre partie au moment du dépôt du recours. Selon l’art. 58 al. 2 LPGA, si l’assuré est domicilié à l’étranger, le tribunal compétent est celui du canton de son dernier domicile en Suisse ou celui du canton de domicile de son dernier employeur suisse. En l’occurrence, la recourante est domiciliée en France, mais son employeur réside dans le canton de Genève. La compétence du Tribunal de céans pour juger du cas d’espèce est ainsi établie.</w:t>
      </w:r>
    </w:p>
    <w:p>
      <w:r>
        <w:rPr>
          <w:b/>
        </w:rPr>
        <w:t>E. 2</w:t>
      </w:r>
    </w:p>
    <w:p>
      <w:r>
        <w:t>Interjeté dans le délai légal et la forme prescrite, le recours est recevable (art. 56 et 60 LPGA ; art. 89B de la loi sur la procédure administrative, du 12 septembre 1985 - LPA ; RS E 5 10).</w:t>
      </w:r>
    </w:p>
    <w:p>
      <w:r>
        <w:rPr>
          <w:b/>
        </w:rPr>
        <w:t>E. 3</w:t>
      </w:r>
    </w:p>
    <w:p>
      <w:r>
        <w:t>Le litige porte sur le droit de la recourante à des prestations de l’assurance- accidents au-delà du 28 janvier 2008 pour le premier événement et au 18 janvier 2009 pour le 2ème événement du 24 octobre 2008, plus particulièrement à une rente d’invalidité ainsi qu’à une indemnité pour atteinte à l’intégrité. La recourante sollicite préalablement la restitution de l’effet suspensif.</w:t>
      </w:r>
    </w:p>
    <w:p>
      <w:r>
        <w:rPr>
          <w:b/>
        </w:rPr>
        <w:t>E. 4</w:t>
      </w:r>
    </w:p>
    <w:p>
      <w:r>
        <w:t>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w:t>
      </w:r>
    </w:p>
    <w:p>
      <w:r>
        <w:t>A/1782/2010 - 6/8 -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au surplus, l'art. 55 al. 2 à 4 PA est applicable. b)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 invalidité en vertu de l'art. 81 LAI (abrogé par la LPGA).</w:t>
      </w:r>
    </w:p>
    <w:p>
      <w:r>
        <w:rPr>
          <w:b/>
        </w:rPr>
        <w:t>E. 5</w:t>
      </w:r>
    </w:p>
    <w:p>
      <w:r>
        <w:t>En l’espèce, la recourante soutient qu’elle subit une perte de gain de 30 %, ce qui n’est pas négligeable et qu’elle suit des traitements, notamment de physiothérapie. Contrairement à l’avis de l’intimée, la reourante considère qu’aucun intérêt public ou prépondérant ne s’oppose à la restitution de l’effet suspensif. La crainte qu’une éventuelle procédure en restitution des prestations versées à tort se révèle infructueuse serait infondée, dès lors qu’elle conserve une capacité de gain. Le Tribunal de céans relève qu’à se stade de la procédure, les chances de succès de la recourante sur le fond du litige n’apparaissent prima faciae pas telles qu’elles l’emporteraient sur l’intérêt de l’intimée à l’exécution immédiate de sa décision de mettre fin aux prestations. En effet, la détermination du statu quo sine doit être</w:t>
      </w:r>
    </w:p>
    <w:p>
      <w:r>
        <w:t>A/1782/2010 - 7/8 - examinée au fond et, en l’état actuel, il n’est pas possible de déterminer quelle sera l’issue de la procédure. De même, quant au point de savoir si la recourante a droit à une rente ou à une indemnité pour atteinte à l’intégrité, ces questions relèvent essentiellement du fond et nécessitent une étude approfondie de l’ensemble des pièces du dossier. Enfin, le seul fait que la recourante dispose encore d’une capacité de gain ne saurait suffire à justifier le versement de prestations durant la présente procédure. Au vu de ce qui précède, la demande en restitution de l’effet suspensif, mal fondée, est rejetée.</w:t>
      </w:r>
    </w:p>
    <w:p>
      <w:r>
        <w:t>A/1782/2010 - 8/8 -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