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ATAS/642/2009 vom 10. September 2008</w:t>
      </w:r>
    </w:p>
    <w:p>
      <w:r>
        <w:t>GE Cour de justice, 2008-09-10, FR</w:t>
      </w:r>
    </w:p>
    <w:p>
      <w:r>
        <w:rPr>
          <w:b/>
        </w:rPr>
        <w:t xml:space="preserve">Quelle: </w:t>
      </w:r>
      <w:r>
        <w:t>https://mcp.opencaselaw.ch/entscheid/ge_gerichte_ATAS_642_2009</w:t>
      </w:r>
    </w:p>
    <w:p>
      <w:r>
        <w:t>FR: GE_GERICHTE ATAS/642/2009 du 10 septembre 2008</w:t>
      </w:r>
    </w:p>
    <w:p>
      <w:r>
        <w:t>IT: GE_GERICHTE ATAS/642/2009 del 10 settembre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w:t>
      </w:r>
    </w:p>
    <w:p>
      <w:r>
        <w:t>A/199/2009 4/5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10 avril 1993, d’autre part le 24 octobre 2008, date à laquelle le jugement de divorce est devenu exécutoire.</w:t>
      </w:r>
    </w:p>
    <w:p>
      <w:r>
        <w:rPr>
          <w:b/>
        </w:rPr>
        <w:t>E. 5</w:t>
      </w:r>
    </w:p>
    <w:p>
      <w:r>
        <w:t>Selon les documents produits, la prestation acquise pendant le mariage par le demandeur est de 43'054 fr. 75 (9'691 fr. 25 + 33'363 fr. 50) tandis que celle acquise par la demanderesse est de 8'702 fr. 80 (286 fr. + 8'416 fr. 80), les intérêts ayant déjà été calculés par les institutions de prévoyance défenderesses. Il y a lieu en effet de considérer que la totalité des avoirs de prévoyance des demandeurs a été acquise pendant le mariage, dès lors qu’ils étaient âgés de moins de 25 ans à la date du mariage (cf. art. 7 al. 1 LPP). Ainsi le demandeur doit à son ex-épouse le montant de 21’527 fr. 40 (43'054 fr. 75 fr. : 2) et celle-ci doit à celui-là le montant de 4'351 fr. 40 (8'702 fr. 80: 2), de sorte que c’est le demandeur qui doit à la demanderesse le montant de 17'176 fr.</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A/199/2009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