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ATAS/641/2025 vom 26. August 2025</w:t>
      </w:r>
    </w:p>
    <w:p>
      <w:r>
        <w:t>GE Cour de justice, 2025-08-26, FR</w:t>
      </w:r>
    </w:p>
    <w:p>
      <w:r>
        <w:rPr>
          <w:b/>
        </w:rPr>
        <w:t xml:space="preserve">Quelle: </w:t>
      </w:r>
      <w:r>
        <w:t>https://mcp.opencaselaw.ch/entscheid/ge_gerichte_ATAS_641_2025</w:t>
      </w:r>
    </w:p>
    <w:p>
      <w:r>
        <w:t>FR: GE_GERICHTE ATAS/641/2025 du 26 août 2025</w:t>
      </w:r>
    </w:p>
    <w:p>
      <w:r>
        <w:t>IT: GE_GERICHTE ATAS/641/2025 del 26 agosto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compte tenu de la notification de la décision le 9 janvier 2025 au domicile élu, selon les allégations du recourant, et au vu de ce que le 8 février 2025 était un samedi, le recours est recevable (art. 60 al. 1 LPGA et 38 al. 3 LPGA cum art. 60 al. 2 LPGA).</w:t>
      </w:r>
    </w:p>
    <w:p>
      <w:r>
        <w:rPr>
          <w:b/>
        </w:rPr>
        <w:t>E. 2</w:t>
      </w:r>
    </w:p>
    <w:p>
      <w:r>
        <w:t>Au vu des conclusions du recours, le litige porte sur le point de savoir si la rente d'invalidité doit être versée depuis le 1er janvier 2024 en lieu et place de la date du 1er octobre 2024 reconnue par l'intimé, ainsi que sur la quotité de la rente.</w:t>
      </w:r>
    </w:p>
    <w:p>
      <w:r>
        <w:rPr>
          <w:b/>
        </w:rPr>
        <w:t>E. 3</w:t>
      </w:r>
    </w:p>
    <w:p>
      <w:r>
        <w:t>Dans un grief de nature formelle qu'il convient de traiter en premier lieu, le recourant se plaint d'une violation de son droit d'être entendu, en ce sens qu'il n'a pas eu accès à tous les éléments de son dossier avant le prononcé de la décision litigieuse et que les arguments qu'il a élevés à la suite du projet de décision n'y avaient pas été discutés.</w:t>
      </w:r>
    </w:p>
    <w:p>
      <w:r>
        <w:rPr>
          <w:b/>
        </w:rPr>
        <w:t>E. 3.1</w:t>
      </w:r>
    </w:p>
    <w:p>
      <w:r>
        <w:t>La jurisprudence a déduit du droit d'être entendu (art. 29 al. 2 de la Constitution fédérale de la Confédération suisse du 18 avril 1999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3.1 et les références). Le droit d'être entendu garanti par l'art. 29 al. 2 Cst. comprend également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 elle n'a toutefois pas l'obligation d'exposer et de discuter tous les arguments invoqués par les parties (ATF 129 I 232 consid. 3.2 ; 126 I 97 consid. 2b). En matière d'assurance sociales, l'art. 47 al. 1 let. a LPGA prévoit que l'assuré a le droit de consulter le dossier pour les données qui le concernent. Par ailleurs, selon</w:t>
      </w:r>
    </w:p>
    <w:p>
      <w:r>
        <w:t>A/466/2025 - 14/33 - l'art. 42 LPGA, les parties ont le droit d'être entendues. Il n'est pas nécessaire de les entendre avant une décision sujette à opposition. S'agissant de la prise de décision en matière d'assurance-invalidité, la loi prévoit que l'office AI communique à l'assuré au moyen d'un préavis toute décision finale qu'il entend prendre au sujet, notamment, d'une demande de prestations. L'assuré a le droit d'être entendu, conformément à l'art. 42 LPGA. Les parties peuvent faire part de leurs observations concernant le préavis dans un délai de 30 jours (art. 57a al. 1 et 3 LAI). Une violation du droit d'être entendu, pour autant qu'elle ne soit pas d'une gravité particulière,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 arrêt du Tribunal fédéral 9C_181/2013 du 20 août 2013 consid. 3.3 et la référence). Selon la jurisprudence, le fait de ne pas avoir eu la possibilité de prendre connaissance d'un rapport, ni se déterminer sur son contenu avant le prononcé d'une décision administrative, ne sont pas des circonstances qui constituent une violation du droit d'être entendu d'une gravité telle qu'elle ne peut être réparée dans le cadre de la procédure cantonale, soumise à la maxime d'office. Si le droit d'être entendu garantit le droit de se déterminer sur les différentes pièces versées au dossier, la personne assurée ne saurait en déduire le droit d'avoir « le dernier mot sur le plan médical » (arrêt du Tribunal fédéral 9C_433/2023 du 12 mars 2024 consid. 3.2 et les références).</w:t>
      </w:r>
    </w:p>
    <w:p>
      <w:r>
        <w:rPr>
          <w:b/>
        </w:rPr>
        <w:t>E. 3.2</w:t>
      </w:r>
    </w:p>
    <w:p>
      <w:r>
        <w:t>En l'espèce, par correspondances des 21 mai et 27 juin 2024, le conseil du recourant a sollicité une copie du dossier de son mandant. L'intimé a répondu par lettre du 3 juillet 2024 en affirmant qu'il avait revu ses conclusions initiales à la lumière des pièces versées au dossier et qu'un nouveau projet de décision serait prochainement rendu. Cela a été fait en date du 26 septembre 2024 à la suite duquel, dans ses observations du 24 octobre 2024, le recourant a demandé à obtenir le dernier rapport du SMR et requis un nouveau délai pour se prononcer. Le 6 novembre 2024, le recourant a une nouvelle fois sollicité le dernier rapport du SMR, sans que celui-ci ou son dossier ne lui parvienne. Ce n'est finalement que dans le cadre de la procédure devant la chambre de céans que le recourant a pu consulter le dossier et prendre connaissance des derniers avis du SMR, notamment celui du 2 mars 2024 rendu après audition.</w:t>
      </w:r>
    </w:p>
    <w:p>
      <w:r>
        <w:rPr>
          <w:b/>
        </w:rPr>
        <w:t>E. 3.3</w:t>
      </w:r>
    </w:p>
    <w:p>
      <w:r>
        <w:t>Au vu de ce qui précède, il apparaît que l'intimé n'a pas fait suite aux demandes du recourant à pouvoir obtenir une copie de toutes les pièces de son dossier, ce qu'il ne conteste du reste pas. Le recourant s'est ainsi vu priver de la possibilité de prendre connaissance et de discuter de la position du SMR à l'occasion de ses observations faisant suite au préavis rendu par l'intimé. Dans</w:t>
      </w:r>
    </w:p>
    <w:p>
      <w:r>
        <w:t>A/466/2025 - 15/33 - cette mesure, le droit d'être entendu du recourant a effectivement été violé. Cela étant, compte tenu du plein pouvoir de cognition de la chambre de céans en fait et en droit (cf. art. 89A cum art. 61 de la loi sur la procédure administrative du 12 septembre 1985 [LPA - E 5 10]), la violation – qui n'apparaît pas spécialement grave, ce d'autant plus que le recourant avait déjà obtenu une copie de son dossier antérieur – doit être considérée comme réparée par le biais de la procédure de recours. Dans ce cadre, le recourant a en effet été en mesure de consulter le dossier et a pu faire utilement valoir tous ses moyens dans sa réplique. Il n'y a par conséquent pas matière à annuler la décision litigieuse pour ce motif. Quant à l'argument selon lequel l'intimé n'aurait pas discuté des griefs du recourant à la suite du projet de décision, il n'apparaît pas fondé. Dans la décision querellée, l'intimé a en effet exposé maintenir sa position après audition et s'est par ailleurs brièvement prononcé sur les arguments soulevés par le recourant, soulignant avoir soumis les pièces médicales produites au SMR et persister dans son analyse de la capacité de travail dans une activité adaptée. Il a au surplus expliqué avoir effectué un nouveau calcul de l'invalidité en fonction des dernières données salariales disponibles, ce qui ne modifiait pas le résultat. Une telle motivation a été suffisante pour permettre au recourant de comprendre la décision litigieuse et de la contester utilement devant l'autorité de recours. Le devoir de motivation de l'autorité ne signifie par ailleurs pas qu'elle doit discuter en détail tous les arguments d'une partie, ce qui est d'autant moins attendu dans les procédures de masse des assurances sociales.</w:t>
      </w:r>
    </w:p>
    <w:p>
      <w:r>
        <w:rPr>
          <w:b/>
        </w:rPr>
        <w:t>E. 4.1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4.2</w:t>
      </w:r>
    </w:p>
    <w:p>
      <w:r>
        <w:t>En l'occurrence, bien que la date d'octroi de la rente d'invalidité soit discutée, il n'est cependant pas contesté que celle-ci doit prendre effet seulement après le 1er janvier 2022, de sorte que les dispositions légales applicables seront citées dans leur nouvelle teneur.</w:t>
      </w:r>
    </w:p>
    <w:p>
      <w:r>
        <w:t>A/466/2025 - 16/33 -</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5.1</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 Le point de départ de l'évaluation prévue pour les troubles somatoformes douloureux (ATF 141 V 281), les troubles dépressifs (ATF 143 V 409), les autres troubles psychiques (ATF 143 V 418) et les troubles mentaux du comportement</w:t>
      </w:r>
    </w:p>
    <w:p>
      <w:r>
        <w:t>A/466/2025 - 17/33 -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À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w:t>
      </w:r>
    </w:p>
    <w:p>
      <w:r>
        <w:rPr>
          <w:b/>
        </w:rPr>
        <w:t>E. 5.2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w:t>
      </w:r>
    </w:p>
    <w:p>
      <w:r>
        <w:t>A/466/2025 - 18/33 -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w:t>
      </w:r>
    </w:p>
    <w:p>
      <w:r>
        <w:t>A/466/2025 - 19/33 -</w:t>
      </w:r>
    </w:p>
    <w:p>
      <w:r>
        <w:rPr>
          <w:b/>
        </w:rPr>
        <w:t>E. 5.3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6. En l'espèce, sous l'angle de l'évaluation de sa situation médicale, le recourant critique l'analyse opérée par l'intimé concernant le point de départ du délai d'attente d'une année au sens de l'art. 28 al. 1 let. b LAI et estime qu'il a présenté une incapacité de travail déterminante depuis le mois de janvier 2023, ce qui lui ouvrirait le droit à une rente d'invalidité une année plus tard, dès le 1er janvier 2024, au lieu du 1er octobre 2024 tel que retenu dans la décision litigieuse. Il invoque à cet égard avoir été hospitalisé une première fois en psychiatrie en janvier 2023 à la clinique de Crans-Montana et le fait que le SMR a lui-même admis que la seconde hospitalisation intervenue en octobre 2023 faisait partir le délai d'attente, alors que sa situation médicale était dans les deux cas identique. L'intimé se fonde pour sa part sur les conclusions de l'expertise pluridisciplinaire et celles du SMR expliquant que l'expert psychiatre mandaté avait précisément analysé l'hospitalisation de janvier 2023 et décrit pour quelles raisons elle ne pouvait être prise en considération. Afin de résoudre le litige, il est donc nécessaire de se pencher sur les différents avis médicaux au dossier et de déterminer leur force probante respective. 6.1 S'agissant de l'expertise pluridisciplinaire, la chambre de céans observe tout d'abord qu'elle contient un résumé du dossier médical, que les experts ont présenté des anamnèses professionnelle, familiale et sociale, ainsi que les antécédents personnels du recourant. Ils ont en outre interrogé ce dernier sur ses plaintes, ses habitudes et le déroulement d'une journée type. Les experts ont consigné le résultat de leurs constatations objectives à la suite de leur examen clinique et ont requis des prélèvements sanguins pour vérifier la compliance médicamenteuse. Leur rapport, établi en pleine connaissance du dossier, après une évaluation consensuelle, tient compte des plaintes du recourant et résulte d'une analyse complète des troubles. Il répond ainsi à tous les réquisits jurisprudentiels sur le plan formel pour se voir reconnaître une pleine valeur probante.</w:t>
      </w:r>
    </w:p>
    <w:p>
      <w:r>
        <w:t>A/466/2025 - 20/33 - Au surplus, il peut être constaté que les critiques du recourant se concentrent sur la seule évaluation de son trouble psychique et qu'il ne remet pas en cause les appréciations des experts sur le plan physique, en particulier le fait que les atteintes à l'épaule et au genou ne l'empêchent pas d'exercer une activité adaptée, sans diminution du taux de sa capacité de travail ou de son rendement. L'unique élément non cité expressément par les experts rhumatologue et orthopédiste que le recourant mentionne est qu'il aurait été opéré une nouvelle fois de l'épaule droite le 9 février 2024. Il a produit à cet égard une lettre de convocation du service de chirurgie orthopédique des HUG pour une intervention fixée le jour en question, mais aucun rapport de ses orthopédistes, postérieur à cette intervention, qui permettrait de connaître son évolution depuis lors. Il ne soutient par ailleurs pas que l'opération, pour autant qu'elle ait été pratiquée, aurait eu une influence sur son état de santé dans une mesure non prise en considération par les experts. Dans ces circonstances, une pleine valeur probante peut être accordée aux conclusions de l'expertise sur le plan orthopédique, rhumatologique et internistique. 6.2 S'agissant de l'expertise psychiatrique, la chambre de céans constate qu'elle remplit elle aussi les réquisits jurisprudentiels au niveau formel. Il reste cependant à déterminer si ses conclusions peuvent être suivies au fond, ce qui nécessite d'examiner en détail le raisonnement de l'expert. Ce dernier a exclu un trouble psychique incapacitant en raison d'une majoration et d'une amplification des symptômes psychiques. Le Dr H______ a en premier lieu retenu des discordances entre les plaintes du recourant et la description que celui-ci fait d'une de ses journées-types. Une telle affirmation est peu compréhensible, une certaine cohérence apparaissant au contraire entre les deux éléments, le recourant se décrivant très affecté sur le plan moral et ne participant, selon ses dires, à aucune tâche du quotidien. L'expert psychiatre retient aussi une discordance entre la description d'une journée-type et les rapports médicaux des trois-quatre dernières années, qui font état d'une certaine participation du recourant aux tâches ménagères. Une telle divergence ne peut cependant être constatée, dans la mesure où le déroulement détaillé d'une de ses journées par le recourant ne permet pas de situer temporellement ses déclarations et, à défaut de précision, de penser qu'il s'est exprimé sur une autre période de son quotidien que celle contemporaine à l'expertise. Hormis l'affirmation qu'il ne prend pas les transports publics depuis trois à quatre ans, aucune indication n'est en effet donnée quant au fait que la description du quotidien porterait sur la même période que celle où le Dr D______ a établi ses rapports à l’attention de l'intimé (avril 2021 et mars 2022). Le recourant a au contraire mentionné être aidé par sa fille, laquelle était en congé maternité depuis quelques mois au moment de l'expertise. Le Dr H______ a aussi retenu une discordance entre les plaintes du recourant et les données objectives de son examen clinique, qui faisaient état d'une personne</w:t>
      </w:r>
    </w:p>
    <w:p>
      <w:r>
        <w:t>A/466/2025 - 21/33 - orientée aux quatre modes, calme et détendue malgré une mimique grave. L'humeur était neutre, il n'y avait pas de tristesse, pas de crises de larmes, pas de ralentissement psychomoteur. L'attention et la concentration étaient stables et de bonne qualité, et des troubles significatifs de la mémoire n'étaient pas présents. Il n'y avait pas non plus de symptôme en faveur d'une hyper activité neuro-végétative pouvant refléter la présence d'un état anxieux, de signe indirect de fatigue ou de fatigabilité, ni de signe indirect en faveur d'un trouble psychotique. Sans pouvoir être directement mises en doute, ces constatations tranchent néanmoins avec celles des autres praticiens faites approximativement à la même époque. La neuropsychologue a ainsi décrit une personne examinée ayant de la difficulté à entrer en contact, passive et fatiguée, présentant un ralentissement idéatoire important, une amimie et une aprosodie. La thymie était abaissée, avec des pleurs présents. En outre, d'après les constatations de l'expert en médecine interne générale, le recourant fuyait le regard, parlait d'un ton monocorde, s'exprimait le moins possible et les interactions étaient minimes. Par ailleurs, les renvois que l'expert psychiatre opère à l'expertise réalisée en 2013 par la Dre B______ et le fait que celle-ci aurait aussi mis en avant une majoration des symptômes ne paraissent pas déterminants, compte tenu de ce que le recourant ne bénéficiait alors d'aucun suivi psychiatrique, de ce qu'aucun médecin ne fait remonter ses troubles psychiques à cette période et de ce que l'experte parlait alors d'une majoration des symptômes physiques pour des raisons psychologiques (F68.0), et non d'une majoration des plaintes psychiques. L'expert se fonde aussi sur les avis du psychiatre de la CRR et du Dr K______ pour nier la présence d'un trouble incapacitant, ceux-ci ayant diagnostiqué un simple trouble de l'adaptation. Outre que, sous l'angle juridique, un tel trouble n'exclut pas, ipso facto, une incapacité de travail lorsque, comme en l'espèce, la réaction dépressive est prolongée (F43.21, diagnostic posé par le psychiatre de la CRR ; cf. arrêt du Tribunal fédéral 9C_408/2023 consid. 5.2), le Dr H______ semble partir de la prémisse erronée que l'opinion du Dr K______ constitue une expertise en bonne et due forme alors que ce médecin – qui n'a pas vu le recourant – se prononçait uniquement sur la question du lien de causalité naturelle, pertinente en matière d'assurance-accidents. Dans son analyse, le Dr H______ retient finalement un trouble anxieux et dépressif mixte, et indique que ce trouble n'a pas de caractère incapacitant, sans que l'on comprenne si cette affirmation est rattachée au cas d'espèce ou est formulée de manière générale. Or, s'il est certes vrai que, selon la jurisprudence, seul un trouble psychique grave peut en principe avoir un caractère invalidant (cf. ATF 148 V 49 consid. 6.2.2), il n'en demeure pas moins que le droit à une rente d'invalidité ne s'examine pas dans l'absolu, en fonction du diagnostic retenu, mais en fonction de l'influence concrète de l'atteinte à la santé sur la capacité de travail et de gain de la personne assurée (cf. ATF 142 V 106 consid. 4.4), analyse qui doit être faite au cas par cas sur la base d'une procédure structurée. La capacité</w:t>
      </w:r>
    </w:p>
    <w:p>
      <w:r>
        <w:t>A/466/2025 - 22/33 - de travail réellement exigible doit ainsi être examinée, sans résultat prédéfini, au moyen d'un catalogue d'indicateurs, appliqué en fonction des circonstances du cas particulier (cf. ATF 141 V 281 consid. 4.1.1 ; consid. 4.3 supra). Il n'est dès lors pas suffisant de poser un certain diagnostic psychique pour en exclure automatiquement des effets invalidants, sauf dans les cas où, au vu du dossier, il est vraisemblable qu'il n'y a qu'un léger trouble psychique, qui ne peut déjà être considéré comme chronifié et qui n'est pas non plus associé à des comorbidités (cf. arrêt du Tribunal fédéral 9C_14/2018 du 12 mars 2018 consid 2.1). Or, en l'occurrence, au vu des comorbidités physiques et de la durée du suivi psychiatrique, le trouble psychique du recourant ne répond pas à cette définition. Le Dr H______ s'est également prévalu de ce que l'examen neuropsychologique réalisé relevait de nombreuses incohérences n'ayant pas permis de valider les résultats des tests, ce qui confirmait selon lui la faiblesse de la plausibilité des plaintes du recourant. Cependant, l'absence de validation des tests et l'incohérence de certaines performances permettent tout au plus, comme l'explique la neuropsychologue dans son rapport du 24 août 2023, d'exclure un trouble cognitif, mais ne permettent pas, en tant que telles, d'exclure une maladie psychique. Il apparaît par ailleurs que les résultats délivrés, bien que considérés comme non probants d'un trouble cognitif par la neuropsychologue pour les motifs susindiqués, ont tout de même mis en avant plusieurs altérations des fonctions cognitives ainsi qu'une thymie abaissée, une amimie et une aprosodie, constatées lors de l'examen clinique. En définitive, on retient de l'expertise du Dr H______ que celui-ci a exclu une maladie psychique invalidante en raison d'une exagération des symptômes. En la matière, selon la jurisprudence,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consid. 5.2.2).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ATF 141 V 281 consid. 2.2.1 ; arrêt du Tribunal fédéral 9C_16/2016 du</w:t>
      </w:r>
    </w:p>
    <w:p>
      <w:r>
        <w:rPr>
          <w:b/>
        </w:rPr>
        <w:t>E. 9</w:t>
      </w:r>
    </w:p>
    <w:p>
      <w:r>
        <w:t>avril 2001 consid. 1).</w:t>
      </w:r>
    </w:p>
    <w:p>
      <w:r>
        <w:rPr>
          <w:b/>
        </w:rPr>
        <w:t>E. 9.1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Aux termes de l'art. 26 al. 4 RAI, 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Les activités antérieures sont déterminantes pour fixer la valeur statistique précise. Il faut établir quel serait le revenu d'une personne sans atteinte à sa santé physique, psychique ou mentale, au bénéfice de la même formation et placée dans</w:t>
      </w:r>
    </w:p>
    <w:p>
      <w:r>
        <w:t>A/466/2025 - 30/33 - une situation professionnelle équivalente ou analogue (art. 26 al 4 RAI ; OFAS, Circulaire sur l'invalidité et les rentes dans l'assurance-invalidité [CIRAI], ch. 3314). Il convient de se référer à la version de l'ESS publiée au moment déterminant de la décision querellée (ATF 143 V 295 consid. 4 ; arrêt du Tribunal fédéral 8C_655/2016 du 4 août 2017 consid. 6.3).</w:t>
      </w:r>
    </w:p>
    <w:p>
      <w:r>
        <w:rPr>
          <w:b/>
        </w:rPr>
        <w:t>E. 9.2</w:t>
      </w:r>
    </w:p>
    <w:p>
      <w:r>
        <w:t>S'agissant du revenu avec invalidité, si l'assuré ne réalise pas de revenu déterminant, il est déterminé en fonction des valeurs statistiques visées à l'art. 25 al. 3 RAI (art. 26bis al. 2 RAI). Il y a lieu de tenir compte de la formation professionnelle ou de la situation et de l'expérience professionnelles antérieures, pour autant que l'on puisse encore raisonnablement exiger de l'assuré qu'il exerce les activités en question. Si l'activité précédente n'est plus raisonnablement exigible, il convient de déterminer le salaire statistique d'une activité qui l'est encore. Des emplois simples d'auxiliaires sont en principe proposés dans toutes les branches du marché du travail, raison pour laquelle c'est la valeur totale et non la valeur pour une branche spécifique qui doit généralement être utilisée dans ce cas (OFAS, CIRAI, ch. 3412 et 3413). Selon la jurisprudence,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 9C_242/2012 du 13 août 2012 consid. 3).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w:t>
      </w:r>
    </w:p>
    <w:p>
      <w:r>
        <w:t>A/466/2025 - 31/33 - privé et secteur public [Confédération] ensemble), respectivement T17 (à partir de 2012) si cela permet de fixer plus précisément le revenu d'invalide et que le secteur en question est adapté et exigible (ATF 133 V 545 et les références ; arrêts du Tribunal fédéral 8C_124/2021 du 2 août 2021 consid. 4.4.1 ; 8C_111/2021 du 30 avril 2021 consid. 4.2.1 et les références). Le 1er janvier 2024, la modification de l'art. 26bis al. 3 RAI du 18 octobre 2023 (RO 2023 635) est entrée en vigueur. Selon sa nouvelle teneur, l'art. 26bis al. 3 RAI prévoit désormais qu'une déduction de 10% est opérée sur la valeur statistique visée à l'al. 2. Si, du fait de l'invalidité, l'assuré ne peut travailler qu'avec une capacité fonctionnelle au sens de l'art. 49 al. 1bis, de 50% ou moins, une déduction de 20% est opérée. Aucune déduction supplémentaire n'est possible. 10. En l'occurrence, le revenu sans invalidité déterminé par l'intimé n'est pas critiqué. Fondé sur les statistiques dans le secteur de la construction du fait que le recourant aurait travaillé dans ce domaine sans l'atteinte primaire à la santé ayant touché le genou, il peut en effet être validé. Concernant le revenu avec invalidité, le recourant reproche à l'intimé de l'avoir établi sur le salaire médian total des statistiques, alors qu'il aurait dû le fonder sur une moyenne pondérée en fonction des domaines de travail lui étant accessibles. En tenant compte uniquement des branches professionnelles pertinentes (hébergement et restauration [branche 55-56], activités de services administratifs [branche 77, 79-82] et autres services personnels [branche 96]), le revenu avec invalidité devait s'élever à CHF 4'507.- par mois pour un poste à plein temps, soit un montant plus bas que celui pris en considération par l'intimé. La méthode de calcul du revenu d'invalide appliquée par l'intimé est conforme à la loi et à la jurisprudence. En effet, au vu des limitations fonctionnelles que présente le recourant, celui-ci ne peut plus réaliser des métiers physiquement ou psychiquement contraignant. Il conserve néanmoins une capacité de travail de 50% dans des activités légères, situation dans laquelle il faut en règle générale selon la jurisprudence recourir aux données de la ligne « total secteur privé », ce salaire statistique recouvrant un large éventail d'activités variées et non qualifiées compatibles avec des limitations fonctionnelles peu contraignantes. La capacité de travail résiduelle du recourant n'apparaissant pas mieux mise en valeur dans certaines branches d'activité particulières, il ne se justifie en l'espèce pas de se départir de ce salaire statistique, ce d'autant plus que le recourant n'a pas travaillé durant de nombreuses années dans un domaine spécifique. Le fait que les médecins de la CRR aient émis des doutes quant à l'employabilité du recourant dans une activité de production au vu des résultats de sa participation aux ateliers professionnels n'apparaît dans ce contexte pas déterminant, ce d'autant plus que le rapport final de la CRR conclut à un pronostic de réinsertion dans une activité adaptée théoriquement favorable.</w:t>
      </w:r>
    </w:p>
    <w:p>
      <w:r>
        <w:t>A/466/2025 - 32/33 - De surcroît, contrairement à ce que prétend le recourant sans réellement le détailler, on ne peut retenir que sa capacité de travail serait mise à profit de manière plus efficace dans les secteurs d'activité qu'il mentionne. Le domaine de l'hébergement et de la restauration n'est pas plus adapté aux limitations d'épargne du membre supérieur et du genou, en tant qu'il contient des activités pouvant être contraignantes pour ces membres (activités hôtelières et de préparation et service des repas, telles que serveur ou plongeur). S'agissant des activités de services administratifs, elles recouvrent des professions qui n'apparaissent pas particulièrement en adéquation avec les compétences ou l'expérience professionnelle du recourant (diverses activités de location, activités des agences de voyage, activités administratives), ou, de nouveau, des activités n'étant pas spécifiquement adaptées à ses limitations (services relatifs aux bâtiments et aménagement paysager). Le recourant n'explique pas non plus en quoi sa capacité de travail serait mieux mise en valeur dans la branche des autres services personnels, qui recouvre des services comme la blanchisserie-teinturerie, la coiffure et les soins de beauté ou les services funéraires et les activités connexes. Dans ces circonstances, il y a lieu de confirmer le revenu avec invalidité pris en considération par l'intimé correspondant au salaire statistique total du secteur privé pour un homme, de niveau 1, et, par voie de conséquence, le calcul de l'invalidité dès 2024 aboutissant à un taux de 63% et à une rente de cette quotité. Il n'est en effet plus contesté que le calcul de l'invalidité tient compte d'une déduction de 20% sur le salaire d'invalide, conformément aux prescriptions de l'art. 26bis al. 3 RAI, du fait que le recourant ne dispose que d'une capacité fonctionnelle de 50%. 11. Partant, la décision litigieuse doit être annulée, le recours doit être partiellement admis et la rente d'invalidité de 63% doit être allouée dès le 1er janvier 2024. Le recourant obtenant partiellement gain de cause,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A/466/2025 - 33/33 - PAR CES MOTIFS, LA CHAMBRE DES ASSURANCES SOCIALES : Statuant À la forme :</w:t>
      </w:r>
    </w:p>
    <w:p>
      <w:r>
        <w:rPr>
          <w:b/>
        </w:rPr>
        <w:t>E. 14</w:t>
      </w:r>
    </w:p>
    <w:p>
      <w:r>
        <w:t>juin 2016 consid. 3.2). À lui seul, un simple comportement ostensible ne permet pas de conclure à une exagération (cf. ATF 141 V 281 consid. 2.2.1 et la référence). Du côté médical, il convient notamment de distinguer l'exagération de la simple tentative plus ou moins consciente – et habituelle dans les situations</w:t>
      </w:r>
    </w:p>
    <w:p>
      <w:r>
        <w:t>A/466/2025 - 23/33 - d'expertise – de la personne assurée de convaincre l'expert de l'existence des symptômes dont elle se plaint. D'autre part, il faut également exclure médicalement que le comportement aggravant soit dû à un trouble psychique autonome ayant valeur de maladie (cf. arrêt du Tribunal fédéral 8C_193/2024 du 6 août 2024 consid. 6.2.2). Or, sur le vu des éléments relevés précédemment, la chambre de céans n'est pas convaincue en l'espèce de l'existence d'une exagération des symptômes excluant une maladie psychique invalidante. Comme déjà souligné, les éléments de majoration retenus par l'expert ne paraissent pas clairs, ou à tout le moins ne les a-t-il pas énoncés clairement, dans une mesure permettant à la juridiction de céans de les comprendre. Les autres indices typiques d'une majoration des symptômes ne sont pas non plus présents, le recourant ayant établi ses plaintes de manière précise, se soumettant à un traitement médicamenteux et à une psychothérapie, et ne bénéficiant pas, à teneur des informations récoltées, d'un environnement psycho-social intact. 6.3 Il convient en outre de replacer l'appréciation du Dr H______ dans le contexte de l'instruction médicale globale et de tenir compte de ce que le SMR a lui-même considéré l'avis du Dr M______ comme probant pour la période prévalant dès le 4 octobre 2023, date de la seconde hospitalisation psychiatrique à partir de laquelle les médecins de l'intimé ont retenu une aggravation de l'état de santé du recourant. Le SMR a relevé, s'agissant de l'expertise privée produite par le recourant, qu'elle était exhaustive et cohérente, basée sur des éléments objectifs (anamnèse, constat clinique examen psyhométrique et mini ICF), qu'il n'y avait pas d'indice en faveur d'une exagération des symptômes, que la description clinique était cohérente avec l'atteinte retenue et qu'il existait une cohérence entre les limitations fonctionnelles retenues et les limitations dans les activités comparables de la vie. Il s'est par contre écarté de l'examen rétrospectif de la capacité de travail du recourant faite par l'expert privé avant le 4 octobre 2023, pour les raisons qu'il a détaillées dans son avis du 2 mars 2024. À ce titre, le SMR souligne notamment que le Dr H______ aurait exposé de manière convaincante que l'hospitalisation de janvier 2023 n'était pas pertinente pour l'appréciation du trouble psychique, au regard de l'absence de modification du traitement médicamenteux à cette époque et de la brièveté du séjour. Dans sa dernière prise de position du 8 avril 2025, le Dr D______ a cependant précisé que le traitement du recourant avait été modifié peu de temps avant l'hospitalisation et qu'une discussion avec les médecins de la clinique de Crans-Montana avait précisément eu lieu pour débattre d'un changement de médication ou de sa continuation, tenant compte des nombreux changements de traitement déjà intervenus suivis de retours vers la même molécule. Il n'apparaît par ailleurs pas que le Dr H______ ait contacté le psychiatre traitant pour vérifier les prescriptions médicamenteuses délivrées, ce qu'il aurait dû faire avant d'en tirer des conclusions, au vu des dates espacées des rapports médicaux de ce dernier qui ne</w:t>
      </w:r>
    </w:p>
    <w:p>
      <w:r>
        <w:t>A/466/2025 - 24/33 - permettaient pas de s'assurer du traitement suivi sur la durée. La chambre de céans n'est pas non plus convaincue par l'argument du Dr H______ concernant la brièveté du séjour, la lettre de sortie de la clinique faisant bien état de ce qu'il s'agissait d'une décision personnelle du recourant, et non du corps soignant. Elle souligne au surplus la préoccupation du corps médical face à cette sortie et le fait qu'il a insisté pour que le suivi extrahospitalier ambulatoire soit renforcé, au vu de la persistance d'une symptomatologie dépressive importante. Dans ces circonstances, comme le relève le recourant, un maintien en institution n'aurait pu se faire que dans le cadre d'un placement à des fins d'assistance, qui répond à des conditions strictes, notamment de mise en danger de la vie ou de l'intégrité corporelle de la personne concernée ou de celle d'autrui (art. 426 ss du Code civil suisse du 10 décembre 1907 [CC - RS 210]). Au vu de ce qui précède, les arguments invoqués par l'intimé et le SMR pour se départir des conclusions du Dr M______ pour la période in casu déterminante – de janvier à septembre 2023 – n'apparaissent pas suffisamment probants. L'on peine à comprendre que le SMR retienne seulement une aggravation de l'état de santé du recourant en octobre 2023, lors de la seconde hospitalisation, alors que son état de santé ne paraissait alors pas fondamentalement plus atteint que lors de la première hospitalisation (dans les deux cas, trouble dépressif récurrent, épisode actuel sévère diagnostiqué tant par les médecins officiant dans les deux cliniques que par le Dr M______). Le SMR ne justifie pas non plus la divergence d'appréciation par la présence ou non de symptômes psychotiques, existants selon le Dr M______ entre juillet et novembre 2023, et relevés par la clinique du N______ en octobre 2023. Aux yeux de la chambre de céans, l'appréciation du Dr M______ et les diagnostics qu'il pose paraissent plus cohérents avec l'évolution de la situation du recourant que l'évaluation du Dr H______, au regard notamment des trois hospitalisations en milieu psychiatrique intervenues durant l'année 2023. L'expert privé retient ainsi de manière convaincante une détérioration de l'état de santé du recourant depuis janvier 2023, le trouble dépressif moyen ayant alors évolué vers un trouble dépressif récurrent sévère, celui-ci redevenant moyen à l'issue de la dernière hospitalisation. Il n'apparaît en outre pas déterminant de se pencher sur l'appréciation quelque peu divergente du psychiatre traitant pour la période suivant l'hospitalisation à la clinique de Crans-Montana (le Dr D______ retient, dans son rapport du 8 avril 2025, un trouble dépressif sévère au début de l'hospitalisation de janvier 2023 ayant évolué vers un trouble moyen à la sortie), compte tenu de ce que seule la capacité de travail après le délai d'attente d'une année est déterminante, en l'occurrence celle effective au mois de janvier 2024 selon les conclusions du recours. Or, à cette date, l'expert privé et le psychiatre traitant s'accordent à dire que la capacité de travail du recourant est de 50%, ce qui est aussi admis par le SMR.</w:t>
      </w:r>
    </w:p>
    <w:p>
      <w:r>
        <w:t>A/466/2025 - 25/33 - 6.4 Eu égard à ce qui précède, la chambre de céans considère que l'expertise psychiatrique du Dr H______ n'est pas suffisamment probante pour l'analyse de l'état de santé du recourant depuis le mois de janvier 2023 et que, compte tenu des autres avis psychiatriques au dossier dont une partie est considérée comme convaincante par l'intimé, il a été démontré au niveau de la vraisemblance prépondérante que le recourant a présenté une incapacité de travail d'au moins 40% en moyenne depuis le mois de janvier 2023. Par conséquent, le délai d'attente d'une année échoit le 1er janvier 2024, date à partir de laquelle la rente d'invalidité doit prendre effet. En ce sens, le recours apparaît fondé. 6.5 En lien avec la question de l'évaluation de sa capacité de travail, le recourant sollicite, dans une conclusion subsidiaire, qu'il soit constaté que sa capacité de réadaptation ou de travail n'a pas pu être déterminée de façon suffisamment claire lors d'un examen portant sur la seule orientation professionnelle effectuée par l'intimé ou un autre organe spécialisé et qu'une mesure d'instruction médico-professionnelle concernant son aptitude à la réadaptation soit ordonnée. Il ressort cependant de ses arguments que le recourant ne conteste pas disposer d'une capacité de travail de 50% dans une activité adaptée à ses limitations fonctionnelles dès le 1er janvier 2024, tel qu'évalué par les Drs M______ et D______. Il se fonde au contraire sur cette prémisse pour calculer le taux d'invalidité. Il ne peut donc être retenu que le recourant soutiendrait que sa capacité de travail ne pourrait être déterminée qu'après d'éventuelles mesures de réadaptation mises en œuvre par l'autorité intimée, lesquelles n'apparaissent pas non plus nécessaires au vu des avis médicaux déjà récoltés examinant la situation sous un angle médico-théorique. Par ailleurs, le recourant ne discute des conclusions du service de placement de l'intimé (de 2007) que dans le cadre de la question de son employabilité sur le marché de l'emploi (cf. infra consid. 6.1.3). Il ne critique pas l'appréciation du service de réadaptation effectuée au mois d'avril 2024 selon laquelle des mesures d'ordre professionnel n'apparaissaient pas nécessaires ou de nature à rétablir, maintenir ou améliorer sa capacité de gain, au vu du large éventail d'activités existantes sans formation préalable et compatibles avec ses limitations fonctionnelles, et ne requiert en particulier pas une mesure de reclassement au sens de l'art. 17 LAI. Ces éléments n'étant pas contestés, ils ne seront pas revus par la chambre de céans. 6.6 Partant, il peut être conclu que le recourant présentait, à la date déterminante du 1er janvier 2024, au niveau somatique, une capacité de travail de 0% dans son activité habituelle et de 100% dans une activité adaptée. Sur le plan psychiatrique, sa capacité de travail était alors de 50% dans toute activité adaptée.</w:t>
      </w:r>
    </w:p>
    <w:p>
      <w:r>
        <w:t>A/466/2025 - 26/33 - 7. Le recourant soutient qu'il n'a aucune perspective réaliste d'exercer une activité adaptée à 50% compte tenu de son absence de formation certifiante, de son parcours professionnel, de ses limitations fonctionnelles et de son âge, et que la CRR avait déjà émis des doutes quant à son employabilité dans une activité de production. 7.1 La notion de marché équilibré du travail, au sens de l'art.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9C_248/2018 du 19 septembre 2018 consid. 6.2 et les références). En d'autres termes,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du Tribunal fédéral 8C_772/2020 du 9 juillet 2021 consid. 3.3 et les références).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(arrêt du Tribunal fédéral 8C_772/2020 du 9 juillet 2021 consid. 3.3 et les références). Il est certes possible de s'écarter de la notion de marché du travail équilibré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(ATF 148 V 174 consid. 9.1 et les références). Cependant, là encore, le caractère irréaliste des possibilités de travail doit découler de l'atteinte à la santé – puisqu'une telle atteinte est indispensable à la reconnaissance d'une invalidité (cf. art. 7 et 8 LPGA) – et non de facteurs étrangers à l'invalidité, par</w:t>
      </w:r>
    </w:p>
    <w:p>
      <w:r>
        <w:t>A/466/2025 - 27/33 - exemple de facteurs psychosociaux ou socioculturels (arrêt du Tribunal fédéral 8C_772/2020 du 9 juillet 2021 consid. 3.3 et les références).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7.2 En l'occurrence, il n'apparaît pas que les perspectives du recourant d'exercer une activité lucrative soient si limitées qu'elles ne lui permettraient pas d'exploiter sa capacité de travail résiduelle. Sur le plan médical, il est admis que le recourant ne peut plus exercer son activité habituelle. En janvier 2024, soit à l'échéance du délai d'attente d'une année, le recourant est cependant en mesure d'exercer une activité adaptée à un taux de 50%. Les limitations fonctionnelles retenues par le SMR sur le plan somatique et psychique, non contestées par le recourant (pas de port de charges de plus de 5 kg, pas de travail au-dessus du plan horizontal, pas de montées répétitives d'escaliers, pas de montées d'échelles, difficultés importantes à évoluer au sein d'un groupe, difficulté moyenne pour la planification et structuration des tâches, flexibilité et capacité d'adaptation, de jugement et de prise de décision diminuées), ou les exigences mentionnées par le Dr M______ (toute activité adaptée au niveau d'acquisition) empêchent l'exercice d'activités contraignantes pour les genoux et les épaules ou sollicitant trop fortement les capacités psychiques du recourant. Elles ne sont cependant pas si étendues qu'elles restreindraient l'accès à un marché équilibré du travail, celui-ci offrant en particulier des possibilités d'emploi dans des activités légères ou alternées (cf. arrêt du Tribunal fédéral 8C_391/2014 du 9 juillet 2014 consid. 4). Les constatations faites lors du séjour à la CRR ne contredisent pas ce qui précèdent puisque, selon le rapport du 29 mars 2021, le recourant avait un pronostic de réinsertion dans une activité adaptée théoriquement favorable. S'agissant de l'âge du recourant (52 ans au moment de la décision litigieuse), il se trouve encore relativement éloigné de l'âge légal de la retraite et, à l'instar de ce qui prévaut en matière d'abattement sur le salaire avec invalidité issu des statistiques, le seul fait qu'un assuré ait dépassé la cinquantaine au moment du droit à la rente n'est pas pertinent (cf. arrêt du Tribunal fédéral 8C_766/2017 et 8C_773/2017 du 30 juillet 2018 consid. 8.6, en matière d'abattement sur le salaire avec invalidité). Au vu, en l'occurrence, du nombre non négligeable d'années de travail restantes avant l'âge de la retraite du recourant, on ne peut déduire que</w:t>
      </w:r>
    </w:p>
    <w:p>
      <w:r>
        <w:t>A/466/2025 - 28/33 - toute perspective d'emploi est irréaliste du fait qu'il a dépassé la cinquantaine et qu'aucun employeur ne consentirait à l'engager. Les autres éléments dont se prévaut le recourant (absence de formation certifiante, parcours professionnel présentant plusieurs années d'inactivité) constituent, d'une part, des facteurs psychosociaux étrangers à l'invalidité qui ne peuvent être pris en considération (cf. arrêt du Tribunal fédéral 8C_772/2020 du 9 juillet 2021 consid. 3.3 et les références) et doivent, d'autre part, être relativisés en ce sens qu'ils ne l'ont pas, dans le passé, empêché de trouver rapidement un emploi lors de son arrivée en Suisse et de se réadapter seul dans le nettoyage après plusieurs années de perception d'une rente de l'assurance-invalidité. Bien que la flexibilité mentale et la capacité d'adaptation du recourant soient aujourd'hui diminuées du fait de son atteinte psychique, il ne ressort pas de l'instruction menée que ces facultés seraient totalement absentes dans une mesure restreignant toute employabilité sur le marché équilibré du travail. 7.3 Enfin, s'agissant de la référence faite par l'intimé dans son mémoire de réponse à la note de placement d'avril 2007 qui concluait à l'absence de volonté du recourant d'être placé, il peut être admis, avec ce dernier, que les constatations faites à l'époque ne sont pas pertinentes par rapport à la question de son employabilité dans le marché équilibré du travail. Cela étant, la décision attaquée ne repose pas sur cet élément et, selon l'analyse qui précède, les perspectives de gain du recourant dans une activité adaptée ne paraissent pas irréalistes. 7.4 Par conséquent, le grief tiré d'une inexploitabilité de la capacité de travail résiduelle doit être rejeté. 8. Il reste désormais à se prononcer sur le taux d'invalidité du recourant dès le 1er janvier 2024. 9.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(cf. art. 28 al. 1 let. c LAI). 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w:t>
      </w:r>
    </w:p>
    <w:p>
      <w:r>
        <w:t>A/466/2025 - 29/33 - L'art. 25 RAI pose les principes de la comparaison des revenus.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