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ATAS/641/2022 vom 7. Juli 2022</w:t>
      </w:r>
    </w:p>
    <w:p>
      <w:r>
        <w:t>GE Cour de justice, 2022-07-07, FR</w:t>
      </w:r>
    </w:p>
    <w:p>
      <w:r>
        <w:rPr>
          <w:b/>
        </w:rPr>
        <w:t xml:space="preserve">Quelle: </w:t>
      </w:r>
      <w:r>
        <w:t>https://mcp.opencaselaw.ch/entscheid/ge_gerichte_ATAS_641_2022</w:t>
      </w:r>
    </w:p>
    <w:p>
      <w:r>
        <w:t>FR: GE_GERICHTE ATAS/641/2022 du 7 juillet 2022</w:t>
      </w:r>
    </w:p>
    <w:p>
      <w:r>
        <w:t>IT: GE_GERICHTE ATAS/641/2022 del 7 luglio 2022</w:t>
      </w:r>
    </w:p>
    <w:p>
      <w:pPr>
        <w:pStyle w:val="Heading2"/>
      </w:pPr>
      <w:r>
        <w:t>Erwägungen</w:t>
      </w:r>
    </w:p>
    <w:p>
      <w:r>
        <w:rPr>
          <w:b/>
        </w:rPr>
        <w:t>E. 1</w:t>
      </w:r>
    </w:p>
    <w:p>
      <w:r>
        <w:t>La procédure devant le Tribunal arbitral des assurances est régie par la maxime inquisitoire. Il appartient ainsi au Tribunal arbitral d'établir les faits déterminants et d'administrer les preuves nécessaires (art. 89 al. 5 de la loi fédérale sur l'assurance-maladie du 18 mars 1994 -LAMal - RS 832.10). Le principe inquisitoire dispense les parties de l'obligation de prouver les faits allégués, mais ne les libère pas du fardeau de la preuve, dans la mesure où, en cas d'absence de preuve, c'est à la partie qui voulait en déduire un droit d'en supporter les conséquences, sauf si l'impossibilité de prouver un fait doit être imputée à la partie adverse. Toutefois, cette règle ne s'applique que s'il se révèle impossible d'établir un état de fait qui correspond, au degré de la vraisemblance prépondérante, à la réalité (ATF 139 V 176 consid. 5.2).</w:t>
      </w:r>
    </w:p>
    <w:p>
      <w:r>
        <w:t>- 10/14-</w:t>
      </w:r>
    </w:p>
    <w:p>
      <w:r>
        <w:t>A/2134/2020 L'art. 89 al. 5 LAMal prescrit également que les cantons fixent la procédure. Aux termes de l'art. 19 de la loi sur la procédure administrative du 12 septembre 1985 (LPA-GE - E 5 10), l'autorité établit les faits d'office et n'est liée ni par les allégués ni par les offres de preuve des parties. Les règles sur la répartition du fardeau de la preuve en procédure civile ne sont ainsi pas applicables et remplacées par le pouvoir d'instruction de l'autorité (Stéphane GRODECKI, Romain JORDAN, Code annoté de procédure administrative genevoise, 2017, note 326, p. 90). Partant, le Tribunal de céans est tenu d'instruire la présente cause indépendamment de l'offre de preuve des parties. Au demeurant, une violation du principe d'économicité est présumée, selon la jurisprudence développée avant l'adoption de la méthode de régression, lorsque la marge de tolérance des coûts totaux et des coûts directs des statistiques est dépassée (ATF 133 V 43 consid. 2.5.1-2.5.5 p. 47 ss). Les statistiques des assureurs-maladie peuvent ainsi constituer une preuve suffisante d'une polypragmasie, en l'absence d'indices mettant en doute la pertinence de leur application dans un cas précis, contrairement à ce qu'allègue le défendeur.</w:t>
      </w:r>
    </w:p>
    <w:p>
      <w:r>
        <w:rPr>
          <w:b/>
        </w:rPr>
        <w:t>E. 2</w:t>
      </w:r>
    </w:p>
    <w:p>
      <w:r>
        <w:t>En l'occurrence, le Tribunal de céans a un doute concernant l'applicabilité des statistiques pour établir une polypragmasie du défendeur. En effet, le coût des traitements atypiques et TAO au-dessus de CHF 600.- représentent CHF 193'793.64 pour 74 patients, selon les allégués du défendeur (cf. pce 47 déf.), alors que son chiffre d'affaires n'était que de CHF 284'289.15 en 2018 (cf. pce 34 déf.). Partant, son chiffre d'affaires pour les 274 patients restants était de CHF 90'495.21, ce qui correspond à un coût moyen de CHF 330.27 par patient, lequel est inférieur au coût moyen du groupe de comparaison en 2018 (CHF 452.45.-, sans les médicaments), selon les RSS (coût par malade du défendeur de CHF 968.26 : indice du défendeur de 214 x 100). Il est également à relever que le nombre des patients du défendeur est trois fois inférieur à la moyenne du groupe de comparaison, de sorte que les cas hors normes ont un impact beaucoup plus important sur le coût moyen de ses patients. Cependant, les demanderesses mettent en doute la fiabilité des tableaux établis par le défendeur et lui reprochent également de facturer selon un système forfaitaire, proscrit par le TARMED. Au vu de ces éléments, les statistiques ne paraissent pas être en l'occurrence l'instrument adéquat pour établir si le principe d'économicité a été violé, de sorte qu'une expertise analytique s'avère nécessaire.</w:t>
      </w:r>
    </w:p>
    <w:p>
      <w:r>
        <w:rPr>
          <w:b/>
        </w:rPr>
        <w:t>E. 3</w:t>
      </w:r>
    </w:p>
    <w:p>
      <w:r>
        <w:t>Le défendeur s'oppose à la désignation du Prof. F______ en tant qu'expert judiciaire.</w:t>
      </w:r>
    </w:p>
    <w:p>
      <w:r>
        <w:t>- 11/14-</w:t>
      </w:r>
    </w:p>
    <w:p>
      <w:r>
        <w:t>A/2134/2020 Toutefois, ce n'est pas parce que ce médecin est proposé par SANTESUISSE qu'il est partial. Il n'y a au contraire aucun indice qui le laisse supposer en l'espèce. Il y a plus de doutes concernant l'impartialité de l'expert proposé par le défendeur, le docteur G______, celui-ci étant le directeur de H______ SA, une société créée sur mandat des sociétés cantonales de médecine des cantons de Fribourg, Genève, Jura, Neuchâtel et Valais qui en sont actionnaires, tout comme des centaines de médecins en pratique privée. Le but de H______ SA est de mettre à disposition des médecins un ensemble d’outils statistiques basés sur les factures établies par leur cabinet. Il s'agit donc d'une société au service exclusif des médecins. Quant aux compétences du Prof. F______, il est spécialiste en médecine interne générale et a donc la même spécialisation que le défendeur. Le fait qu'il est également formé en homéopathie, un artisan du rapprochement entre les médecines et pionnier de la médecine intégrative en Suisse, comme l'allègue le défendeur, n'enlève rien à ses compétences dans son domaine de spécialisation et témoigne au contraire de son ouverture d'esprit à d'autres approches médicales. Cela étant, il sied de confier le mandat d'expertise au Prof. F______.</w:t>
      </w:r>
    </w:p>
    <w:p>
      <w:r>
        <w:rPr>
          <w:b/>
        </w:rPr>
        <w:t>E. 4</w:t>
      </w:r>
    </w:p>
    <w:p>
      <w:r>
        <w:t>Quant à la détermination de l'échantillon de dossiers à examiner par l'expert, le Tribunal de céans persiste à considérer qu'il est pertinent d'examiner les 28 premiers dossiers de la pièce 33 du défendeur, soit les cas les plus coûteux. Toutefois, il sera admis que les 20 autres dossiers soient choisis par l'expert au hasard. S'agissant de la question de savoir si la quantité de Dormicum prescrite par le défendeur est adéquate, question que les demanderesses aimeraient ajouter, elle n'a pas sa place dans le cadre d'une demande de restitution fondée sur une polypragmasie. En effet, seule la restitution des coûts directs peut être demandée et non de ceux qui ont trait aux prestations facturées par d'autres fournisseurs de prestations, sur prescription du médecin mis en cause (ATF 137 V 43 consid. 2.5.1-2.5.5 p. 47 ss). Cette question ne sera par conséquent pas incluse dans la mission d'expertise. Concernant la question 10 qui était initialement incluse dans la mission d'expertise, il n'est pas attendu de l'expert qu'il explique le fonctionnement de la méthode statistique de régression, mais uniquement qu'il donne le cas échéant son avis sur le fait que l'indice de régression, pourtant très affiné, donne in casu éventuellement une image erronée de la pratique médicale du défendeur. Toutefois, afin d'éviter toute ambigüité, cette question sera finalement écartée.</w:t>
      </w:r>
    </w:p>
    <w:p>
      <w:r>
        <w:rPr>
          <w:b/>
        </w:rPr>
        <w:t>E. 5</w:t>
      </w:r>
    </w:p>
    <w:p>
      <w:r>
        <w:t>Enfin, le Tribunal de céans statuera sur la prise en charge des frais d'expertise avec le jugement au fond. Conformément au principe inquisitoire qui régit la procédure dans le domaine des assurances sociales (cf. art. 43 LPGA),</w:t>
      </w:r>
    </w:p>
    <w:p>
      <w:r>
        <w:t>- 12/14-</w:t>
      </w:r>
    </w:p>
    <w:p>
      <w:r>
        <w:t>A/2134/2020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w:t>
      </w:r>
    </w:p>
    <w:p>
      <w:r>
        <w:t>- 13/14-</w:t>
      </w:r>
    </w:p>
    <w:p>
      <w:r>
        <w:t>A/2134/2020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