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ATAS/641/2021 vom 21. Juni 2021</w:t>
      </w:r>
    </w:p>
    <w:p>
      <w:r>
        <w:t>GE Cour de justice, 2021-06-21, FR</w:t>
      </w:r>
    </w:p>
    <w:p>
      <w:r>
        <w:rPr>
          <w:b/>
        </w:rPr>
        <w:t xml:space="preserve">Quelle: </w:t>
      </w:r>
      <w:r>
        <w:t>https://mcp.opencaselaw.ch/entscheid/ge_gerichte_ATAS_641_2021</w:t>
      </w:r>
    </w:p>
    <w:p>
      <w:r>
        <w:t>FR: GE_GERICHTE ATAS/641/2021 du 21 juin 2021</w:t>
      </w:r>
    </w:p>
    <w:p>
      <w:r>
        <w:t>IT: GE_GERICHTE ATAS/641/2021 del 21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En l’espèce, la demande de prestations remonte au 20 septembre 2004. La LPGA, entrée en vigueur au 1er janvier 2003, est applicable. Les modifications de la loi fédérale sur l'assurance-invalidité du 6 octobre 2006 (5ème révision) et du 18 mars 2011 (révision 6a), entrées en vigueur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130 V 445 consid. 1, ATF 127 V 467 consid. 1). En l'espèce, au vu des faits pertinents, du point de vue matériel, le droit éventuel aux prestations doit être examiné au regard des dispositions selon leur teneur pendant les différentes périodes en cause (ATF 130 V 445 consid. 1; voir également ATF 130 V 329).</w:t>
      </w:r>
    </w:p>
    <w:p>
      <w:r>
        <w:rPr>
          <w:b/>
        </w:rPr>
        <w:t>E. 3</w:t>
      </w:r>
    </w:p>
    <w:p>
      <w:r>
        <w:t>Le recours, interjeté dans les forme et délai prévus par la loi (art. 56ss LPGA), est recevable.</w:t>
      </w:r>
    </w:p>
    <w:p>
      <w:r>
        <w:rPr>
          <w:b/>
        </w:rPr>
        <w:t>E. 4</w:t>
      </w:r>
    </w:p>
    <w:p>
      <w:r>
        <w:t>Le litige, tel que circonscrit par les conclusions du recours, porte uniquement sur le droit du recourant à une rente d’invalidité, à l'exclusion du droit à des mesures d’ordre professionnel.</w:t>
      </w:r>
    </w:p>
    <w:p>
      <w:r>
        <w:rPr>
          <w:b/>
        </w:rPr>
        <w:t>E. 5</w:t>
      </w:r>
    </w:p>
    <w:p>
      <w:r>
        <w:t>Selon l'art. 28 al. 1 aLAI, dans sa teneur en vigueur du 1er janvier 2004 au 31 décembre 2007, l'assuré avait droit à une rente s'il était invalide à 40 % au moins. La rente était échelonnée comme suit, selon le taux d'invalidité : 40 % au moins, un quart ; 50 % au moins, une demie ; 60 % au moins, trois-quarts ; 70 % au moins, rente entière.</w:t>
      </w:r>
    </w:p>
    <w:p>
      <w:r>
        <w:t>A/362/2018 - 17/32 - Ces seuils sont désormais repris à l’art. 28 al. 2 LAI, dans sa version en vigueur depuis le 1er janvier 2008. L’art. 29 al. 1 aLAI dans sa teneur en vigueur jusqu'au 31 décembre 2007 prévoyait que le droit à la rente au sens de l'art. 28 LAI prenait naissance au plus tôt à la date à partir de laquelle l'assuré présentait une incapacité de gain durable de 40 % au moins (art. 7 LPGA) (let. a) ou à partir de laquelle il avait présenté, en moyenne, une incapacité de travail de 40 % au moins pendant une année sans interruption notable (art. 6 LPGA) (let. b).</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w:t>
      </w:r>
    </w:p>
    <w:p>
      <w:r>
        <w:t>A/362/2018 - 18/32 -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w:t>
      </w:r>
    </w:p>
    <w:p>
      <w:r>
        <w:rPr>
          <w:b/>
        </w:rPr>
        <w:t>E. 9</w:t>
      </w:r>
    </w:p>
    <w:p>
      <w:r>
        <w:t>Dans un arrêt de principe rendu en 2015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w:t>
      </w:r>
    </w:p>
    <w:p>
      <w:r>
        <w:t>A/362/2018 - 19/32 -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w:t>
      </w:r>
    </w:p>
    <w:p>
      <w:r>
        <w:t>A/362/2018 - 20/32 -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w:t>
      </w:r>
    </w:p>
    <w:p>
      <w:r>
        <w:t>A/362/2018 - 21/32 -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11</w:t>
      </w:r>
    </w:p>
    <w:p>
      <w:r>
        <w:t>Selon l'art. 44 LPGA, si l'assureur doit recourir aux services d'un expert indépendant pour élucider les faits, il donne connaissance du nom de celui-ci aux parties. Celles-ci peuvent récuser l'expert pour des raisons pertinentes et présenter des contre-propositions. Les principes posés par la jurisprudence en relation avec l'art. 44 LPGA, tant sous l'angle des droits de participation de l'assuré que des exigences en matière de substitution de l'expert mandaté et de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On ne saurait en revanche considérer comme un simple auxiliaire</w:t>
      </w:r>
    </w:p>
    <w:p>
      <w:r>
        <w:t>A/362/2018 - 22/32 - accomplissant une tâche secondaire le médecin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Les tâches d’analyse et de relecture du dossier ne peuvent pas non plus être considérées comme secondaires, puisque les médecins intervenant à ce titre contribuent au résultat de l'expertise. En conséquence, leur nom doit être communiqué au préalable à l'assuré, conformément à l'art. 44 LPGA, et le non-respect de cette exigence constitue une violation de ses droits de participation et d'être entendu. Le Tribunal fédéral a cependant considéré que lorsque, comme en l’espèce, les experts en charge d’examiner un assuré ont conjointement établi le rapport après qu'ils en ont discuté à la suite de leur lecture du dossier et de leur examen et ont vérifié la conformité du résumé aux pièces du dossier à leur disposition, le fait que l'assuré n'ait pas eu connaissance du nom des médecins intervenus que de manière ponctuelle dans le cadre de l'expertise ne constitue pas une violation si grave de ses droits de participation ou d'être entendu qu'elle ne serait pas susceptible de réparation. À cette fin, il convient de placer l’assuré dans la situation dans laquelle il peut reconnaître s'il entend ou non soulever un motif de récusation à l'encontre du ou des médecins auxiliaires impliqués (ATF 146 V 9 consid. 4.2.3, 4.3.2 et 4.4).</w:t>
      </w:r>
    </w:p>
    <w:p>
      <w:r>
        <w:rPr>
          <w:b/>
        </w:rPr>
        <w:t>E. 12</w:t>
      </w:r>
    </w:p>
    <w:p>
      <w:r>
        <w:t>a. 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(arrêt du Tribunal fédéral 9C_82/2016 du 9 juin 2016 consid. 3.2). b/aa.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La comparaison des revenus</w:t>
      </w:r>
    </w:p>
    <w:p>
      <w:r>
        <w:t>A/362/2018 - 23/32 - s’effectue en règle générale en chiffrant aussi exactement que possible les montants de ces deux revenus, puis en les confrontant l’un à l’autre, la différence permettant de calculer le taux d’invalidité (arrêt du Tribunal fédéral 8C_1/2020 du 15 octobre 2020 consid. 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4.2). b/bb.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b/cc.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c. La méthode extraordinaire d'évaluation de l'invalidité doit être appliquée lorsqu'il n'est pas possible d'établir ou d'évaluer de manière fiable les revenus avec et sans invalidité. En s'inspirant de la méthode spécifique pour non-actifs (art. 28a al. 2 LAI, en relation avec les art. 27 RAI et 8 al. 3 LPGA), il s'agit de procéder à une</w:t>
      </w:r>
    </w:p>
    <w:p>
      <w:r>
        <w:t>A/362/2018 - 24/32 - comparaison des champs d'activité médicalement exigibles et d'évaluer le degré d'invalidité d'après l'incidence de la capacité de rendement amoindrie sur la situation économique concrète (arrêt du Tribunal fédéral 9C_283/2018 du 7 décembre 2018 consid. 4.2.1 et les références). Conformément à la jurisprudence (arrêt du Tribunal fédéral 9C_820/2008 du</w:t>
      </w:r>
    </w:p>
    <w:p>
      <w:r>
        <w:rPr>
          <w:b/>
        </w:rPr>
        <w:t>E. 14</w:t>
      </w:r>
    </w:p>
    <w:p>
      <w:r>
        <w:t>En l’espèce, il convient en premier lieu de se déterminer sur les griefs du recourant quant à l’intervention des Drs P______ et Q______ dans l’établissement de l’expertise du CEMed. Le concours de ces médecins s’inscrit dans la même constellation que celle qui a donné lieu à l’arrêt de principe du Tribunal fédéral précité. Interpellé sur d’éventuels motifs de récusation à l’encontre de ces médecins, le recourant n’en a pas fait valoir. Partant, conformément à la jurisprudence, on ne saurait conclure à une violation des droits de participation du recourant telle qu’elle justifierait d’écarter d’emblée le rapport établi par les médecins du CEMed. Quant aux interrogations que soulève le recourant en lien avec la nécessité pour des médecins tiers de collaborer à la rédaction d’une expertise, il est vrai qu’on peine à cerner l’opportunité de ces interventions, dès lors que les experts prennent également connaissance du dossier entier et que le relecteur ne peut modifier les conclusions, selon la pratique décrite par le CEMed. Cela étant, il faut rappeler que l'expert jouit d'une large autonomie dans la manière de conduire son expertise, s'agissant notamment des modalités de l'examen clinique et du choix des examens complémentaires à effectuer (arrêt du Tribunal fédéral 9C_812/2014 du 16 février 2015 consid. 4.1), de sorte que le juge n’est pas fondé à exclure la participation de médecins tiers dans l’établissement d’un rapport d’expertise – sous réserve du</w:t>
      </w:r>
    </w:p>
    <w:p>
      <w:r>
        <w:t>A/362/2018 - 26/32 - respect des droits de l’assuré en matière de participation et du cadre du mandat d’expertise.</w:t>
      </w:r>
    </w:p>
    <w:p>
      <w:r>
        <w:rPr>
          <w:b/>
        </w:rPr>
        <w:t>E. 15</w:t>
      </w:r>
    </w:p>
    <w:p>
      <w:r>
        <w:t>Sur le fond, le recourant allègue que l’expertise doit être écartée, au motif que les indicateurs pour évaluer le caractère invalidant d’un trouble somatoforme douloureux se sont modifiés depuis son établissement. Or, comme on l’a vu, le Tribunal fédéral n’exclut pas toute valeur probante à un rapport antérieur à la nouvelle jurisprudence. En outre, dans le cas d’espèce, l’expert psychiatre a bien établi un complément d’expertise tenant compte des critères désormais pertinents. Reste à déterminer si le rapport des experts du CEMed, tel que complété le 20 août 2015, satisfait aux exigences du Tribunal fédéral en la matière. Ce rapport a été établi sur la base du dossier médical du recourant, incluant l’analyse des documents d’imagerie. Les experts ont fondé leurs diagnostics sur leurs observations cliniques, qu'ils ont consignées après avoir relaté l’anamnèse du recourant et ses plaintes. Leurs diagnostics et leurs conclusions sont clairs. Au plan formel, le rapport du CEMed contient ainsi tous les éléments nécessaires pour se voir reconnaître valeur probante. Sur le fond, cette expertise ne contient pas de contradictions apparentes, et l’appréciation de la capacité de travail du recourant dans son activité habituelle et dans une activité adaptée ne prête dès lors pas flanc à la critique. Les autres rapports médicaux versés au dossier ne permettent en outre pas de mettre en doute les conclusions des experts. S’agissant de l’appréciation du Dr F______ – dont il est vrai qu’elle n’a guère été discutée par les médecins du CEMed – il faut relever qu'en 2006, ce rhumatologue n’a pas exclu la reprise d’une activité adaptée à l’avenir. En 2011, il a admis une capacité de travail de 50 % dans une telle activité. Cette restriction de la capacité de travail est cependant motivée par les douleurs du recourant, dont le Dr F______ admettait pourtant qu’elles n’étaient pas complètement expliquées par les atteintes objectivement constatées. Partant, cette évaluation de la capacité de gain du recourant n’emporte pas la conviction. Quant aux médecins traitants du recourant, on soulignera que le Dr H______ s’est uniquement prononcé sur la capacité de travail dans l’activité de parquetteur – dont il n’est pas contesté qu’elle est nulle – et non dans une activité adaptée. Quant au Dr D______, il a également conclu dans un premier temps à l’impossibilité pour le recourant de reprendre son activité habituelle, sans se prononcer sur une activité adaptée. Ce médecin a certes fait état en mars 2018 d’une inaptitude à exercer une activité professionnelle. Cette conclusion ne repose cependant pas sur ses propres observations. En effet, elle est motivée par les problèmes psychiatrique et lombaire, dont le Dr D______ n'assure pas le traitement puisqu’il renvoie aux rapports des autres médecins sur ces points. À cet égard, on relèvera que contrairement aux déclarations du recourant lors de son audition, le Dr D______ a confirmé dans son</w:t>
      </w:r>
    </w:p>
    <w:p>
      <w:r>
        <w:t>A/362/2018 - 27/32 - certificat du 9 novembre 2020 qu’il ne suivait pas le recourant pour ses dorso-lombalgies. On précisera encore que contrairement à ce qu'a affirmé le recourant, l'experte rhumatologue a bien tenu compte des cervicalgies et des lombosciatalgies et qu’elle a pris connaissance de l’IRM de mars 2015, mais qu’elle a exclu des répercussions de ces atteintes sur la capacité de travail du recourant. Il n'existe guère d'avis divergent sur ce point, de sorte que la chambre de céans n'a pas de motif de remettre en cause ses conclusions. S'agissant en particulier des problèmes lombaires, on peut déduire des contradictions entre les déclarations du recourant et les explications du Dr D______ qu’ils ne semblent pas nécessiter de traitement médical, et cette absence de suivi plaide en défaveur de leur caractère invalidant. Au plan psychique, les rapports établis par la Dresse K______ ne sont pas suffisamment motivés pour écarter l'avis du Dr M______, et elle préconise d'ailleurs une expertise pour déterminer la capacité de travail du recourant. On notera s'agissant en particulier de ses rapports initiaux en 2013 que plusieurs des éléments décrits, soit le sentiment d’injustice, la colère contre le système et l'idée de complot ne paraissent a priori pas nécessairement relever d'une pathologie d'ordre psychique. Enfin, ses rapports sont contradictoires dans leurs diagnostics : elle évoque en effet un trouble dépressif sévère dans ses rapports de décembre 2012 et juin 2013, et un épisode moyen dans son rapport de mars 2018. Le recourant critique en outre le rapport des experts en tant qu'il nie le caractère invalidant de son trouble somatoforme douloureux, notamment compte tenu du fait que celui-ci n'aurait pas été évalué à l'aune des nouveaux indicateurs dans le premier rapport des experts. Or, le Dr M______ a rendu un complément d'expertise se prononçant sur ces éléments, de sorte que ce grief tombe à faux. En toute hypothèse, cela ne suffirait pas à écarter le rapport du CEMed, conformément à la jurisprudence déjà citée. En ce qui concerne la critique du recourant quant à la méthodologie, eu égard au fait que ce complément d'expertise n'a pas été établi de concert avec les autres experts, il faut rappeler que selon la jurisprudence fédérale, en cas d'expertise pluridisciplinaire, une synthèse sur la base d'une discussion consensuelle entre experts est certes idéale, mais pas obligatoire (ATF 143 V 124 consid. 2.24). Ainsi, le fait que le Dr M______ soit le seul signataire du complément ne suffit pas à lui nier valeur probante On ajoutera qu'il convient d'examiner dans chaque cas si les expertises administratives ou judiciaires qui ne contiendraient pas d’analyse selon les nouveaux critères jurisprudentiels permettent ou non une appréciation concluante du cas à l'aune des indicateurs déterminants, le cas échéant en les mettant en relation avec d'autres rapports médicaux. Il revient aux organes chargés de l'application du droit de procéder à l'appréciation définitive de la capacité de travail de l'intéressé (arrêt du Tribunal fédéral 9C_808/2019 du 18 août 2020 consid. 5.2 et les références). On peut ainsi compléter comme suit l'analyse des indicateurs standards : les experts n'ont pas retenu que le trouble revêtait une gravité</w:t>
      </w:r>
    </w:p>
    <w:p>
      <w:r>
        <w:t>A/362/2018 - 28/32 - particulière. Les troubles psychiques ont en effet été qualifiés de légers. Les traits de personnalité narcissique n'ont pas d'incidence sur la capacité de travail du recourant – conclusion à laquelle parvient également la Dresse K______. Quant au contexte social, il n'apparaît pas particulièrement dégradé, dès lors que le noyau familial connaît une bonne entente et que le recourant a le soutien de son épouse, ce qui constitue une ressource. Il a également eu deux enfants depuis la survenance de son atteinte à la santé. En ce qui concerne les limitations au quotidien, le recourant est capable de suivre l'actualité, de lire, de s'occuper en partie de ses enfants et des animaux domestiques, d’entreprendre certaines démarches administratives avec sa gérance, et de partir en vacances. Pour ce qui a trait au poids de la souffrance, la mise à profit d’options thérapeutiques, autrement dit la mesure dans laquelle les traitements sont suivis, permet d’évaluer le poids effectif des souffrances. En l'espèce, le recourant a renoncé à certaines propositions thérapeutiques, telle que l'intervention évoquée par le Dr F______. Il ne signale pas de traitement particulier pour les dorsalgies et les cervicalgies. Il a également mis un terme au traitement médicamenteux pour ses troubles psychiques selon les indications de la Dresse K______ en 2013. C'est également pour ces motifs qu'on ne peut conclure à un échec des traitements. Ces éléments concourent à confirmer que le trouble somatoforme douloureux n’est pas invalidant. Il faut enfin souligner qu'une aggravation de l'état de santé depuis l'établissement de l'expertise du CEMed n'est pas démontrée. La progression des symptômes signalée par le Dr D______ le 9 novembre 2020 n'est pas explicitée, et ce médecin ne mentionne pas de changement de diagnostics. Les atteintes qu'il énumère sont déjà décrites dans ses précédents rapports, et leur incidence sur la capacité de gain du recourant a bien été analysée par les experts. Compte tenu de ce qui précède, la chambre de céans ne s'écartera pas des conclusions des experts, aux termes desquelles l'exercice d'une activité adaptée aux limitations fonctionnelles est possible depuis toujours. En conséquence, elle ne donnera pas suite aux réquisitions du recourant tendant à la mise en œuvre d'une expertise et à l'audition de ses médecins traitants, par appréciation anticipée des preuves (ATF 138 III 374 consid. 4.3.1).</w:t>
      </w:r>
    </w:p>
    <w:p>
      <w:r>
        <w:rPr>
          <w:b/>
        </w:rPr>
        <w:t>E. 16</w:t>
      </w:r>
    </w:p>
    <w:p>
      <w:r>
        <w:t>Il convient à présent de se pencher sur le calcul d'invalidité du recourant. Au sujet du calcul selon la méthode extraordinaire pour la période du 1er mars 2005 au 30 novembre 2008, il faut en premier lieu souligner que c’est à juste titre que l’intimé s’est fondé sur les revenus statistiques, dès lors que les difficultés liées à la détermination du revenu sans invalidité ont précisément motivé l’application de cette méthode, conformément à l’arrêt du Tribunal du 4 juin 2009. Le recours à de telles données en cas d’évaluation extraordinaire du taux d’invalidité est conforme à la jurisprudence, contrairement à ce que semble alléguer le recourant. Il faut en revanche donner raison au recourant en tant qu’il affirme que les revenus de l’année 2005 devraient être pris en compte, eu égard au début du droit à la rente. Il convient ainsi de se référer aux salaires tirés de l’ESS 2004. Les valeurs appliquées par</w:t>
      </w:r>
    </w:p>
    <w:p>
      <w:r>
        <w:t>A/362/2018 - 29/32 - l’intimé, soit celles du TA7 de niveau 3 dans les activités de la construction d’une part (ligne 11) et dans les autres activités commerciales et administrative (ligne 23), reflètent les tâches du recourant en tant que directeur de son entreprise de parquetage participant aux travaux de chantier, et elles ne sont pas contestées. La chambre de céans ne s’en écartera donc pas. Les revenus statistiques mensuels en 2004 étaient de CHF 5'350.- s’agissant de la construction, et de CHF 6'245.- pour le volet administratif, soit respectivement CHF 5'639.- et CHF 6'582.- une fois indexés et adaptés à la durée normale de travail de 41.7 heures en 2005. La chambre de céans reprendra la pondération des activités de l’intimé, qui l’a établie en se référant aux déclarations du recourant sur ce point, que ce dernier ne nie pas avoir tenues. Le revenu annuel avant invalidité s’élève dès lors à CHF 68'800.- en 2005, compte tenu d’un revenu annuel dans l’activité de direction de CHF 78'984.-, pondérée à 10 %, et d’un revenu annuel dans les autres activités de CHF 67'668.- pondérées à 90 %. Le calcul que le recourant entend substituer à celui de l'intimé, qu’il entend établir sans tenir compte d’un changement dans les tâches dans son entreprise, ne peut être suivi. D’une part, il ne correspond pas à la réorganisation qu’il a décrite à l’intimé. D’autre part, cette nouvelle répartition des tâches était en toute hypothèse exigible, eu égard à l’obligation de diminuer le dommage. En effet, il appartenait au recourant de se consacrer aux tâches administratives et de direction dans une plus large mesure, en engageant des ouvriers pour le suppléer sur les chantiers. Le recourant a du reste indiqué qu’il avait réorganisé le travail ainsi dans le cadre de l’enquête de l’intimé du 28 novembre 2007, et il a précisé lors de son audition par la chambre de céans qu’il adaptait son effectif à la charge de travail. L'argumentation selon laquelle la répartition des tâches après atteinte à la santé retenue par l’intimé ne serait pas viable pour une petite entreprise comme la sienne ne lui est d’aucun secours, dès lors qu’il était exigible de lui qu’il change de profession si l’exploitation de son entreprise ne mettait pas en valeur sa capacité de travail résiduelle, comme on le verra ci-dessous. En ce qui concerne les éléments de la formule d'évaluation du degré d’invalidité dans le cas d'espèce, l’activité de direction est 1, celle de travaux de chantier 2, celle de rendez-vous de chantier 3. T1 est égal à 40 %, respectivement 10 % après invalidité, T2 à 50 %, respectivement 80 % après invalidité, T3 à 10 %. B1 est égal à 0 %, B 2 à 100 %, et B3 à 0 %. Enfin, S1 équivaut à CHF 6'582.-, S2 et S3 à CHF 5'639.-. L’application de la formule aboutit dès lors à un degré d’invalidité de 49.17 %, qui doit être arrondi à 49 % selon les règles mathématiques (ATF 130 V 121 consid. 3.2), ouvrant le droit à un quart de rente plutôt qu’à la demi-rente allouée jusqu’au 30 novembre 2008 par la décision attaquée. Cela étant, au vu des circonstances, la chambre de céans renoncera à la réformation de la décision sur ce point au détriment du recourant. Le recourant ayant cessé d'exploiter son entreprise en septembre 2008, l’intimé a déterminé son degré d’invalidité dès cette date en appliquant la méthode générale</w:t>
      </w:r>
    </w:p>
    <w:p>
      <w:r>
        <w:t>A/362/2018 - 30/32 - de comparaison des revenus, en tenant compte d’une pleine capacité de travail dans une activité adaptée, conformément aux conclusions des experts. Contrairement à ce qu’allègue le recourant, il n’est pas irréaliste de considérer qu’il peut retrouver un emploi adapté à son atteinte. En premier lieu, en ce qui concerne son âge, il faut rappeler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(arrêt du Tribunal fédéral 8C_761/2014 du 15 octobre 2015 consid. 3.2.2). Le moment auquel la question de la mise en valeur de la capacité (résiduelle) de travail pour un assuré proche de l'âge de la retraite doit être examinée correspond au moment auquel il a été constaté que l'exercice d'une activité lucrative était médicalement exigible (ATF 138 V 457 consid. 3.3). Le Tribunal fédéral a considéré que le seuil dès lequel on peut parler d’âge avancé se situe à 60 ans (arrêt du Tribunal fédéral 9C_612/2007 du 14 juillet 2008 consid. 5.2). En l’espèce, le recourant avait 50 ans lors de l’expertise du CEMed, soit un âge très largement en-deçà du seuil défini par la jurisprudence. Par surabondance, il était âgé de 46 ans au moment où le Dr F______ avait déjà admis la reprise – certes partielle – d’une activité adaptée. On ne saurait ainsi considérer qu’une réinsertion professionnelle est irréaliste de ce point de vue. Les autres arguments du recourant ne permettent pas de parvenir à une autre conclusion. Le fait qu’il n’ait pas été confronté à des rapports hiérarchiques pendant une longue période ne suffit pas non plus à exclure une reprise en tant qu’employé. Le parcours du recourant, qui a été en mesure de s’intégrer dans un nouveau pays et d’y créer une entreprise, démontre du reste de bonnes facultés d’adaptation. Enfin, ses limitations fonctionnelles ne sont pas telles que seuls des emplois de niche seraient accessibles. L’intimé a du reste donné plusieurs exemples d’activités adaptées dans son écriture du 28 février 2018. Au vu du large éventail d’activités manuelles simples et accessibles sans formation qu’offre un marché du travail équilibré dans les secteurs de la production et des services, on doit admettre qu’un certain nombre d’entre elles sont adaptées à l’atteinte à la santé du recourant (cf. arrêt du Tribunal fédéral 8C_226/2018 du 30 janvier 2019 consid. 4.2), sans que des mesures de réadaptation – à l’octroi desquelles il ne conclut d’ailleurs pas – soient nécessaires. On peut ainsi confirmer le recours aux salaires statistiques pour déterminer le revenu d’invalide, qui correspond au revenu tiré d’activités simples et répétitives en 2008 pour un homme (TA1, ligne Total), soit CHF 4'806.- par mois et CHF 59'979.- annualisé et adapté à la durée normale de travail de 41.7 heures en 2008. L’intimé a tenu compte d’un abattement de 10 % eu égard aux seuls travaux légers possibles, ce qui porte le revenu d’invalide à CHF 44'984.-. La comparaison au revenu sans invalidité de CHF 68'800.- en 2005, indexé à CHF 71'751.- en 2008, révèle un degré d’invalidité de 24.77 %, arrondi à 24 %. On relèvera encore que</w:t>
      </w:r>
    </w:p>
    <w:p>
      <w:r>
        <w:t>A/362/2018 - 31/32 - même la réduction maximale de 25 % sur le revenu statistique conduirait à un degré d’invalidité de 37.31 %, ce qui resterait insuffisant pour ouvrir le droit à une rente. C’est ainsi à juste titre que l’intimé a nié le droit à une rente dès décembre 2008, soit trois mois après la diminution de son degré d’invalidité liée au changement d’activité exigible. En effet,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Eu égard aux éléments qui précèdent, la décision de l’intimé est confirmée.</w:t>
      </w:r>
    </w:p>
    <w:p>
      <w:r>
        <w:rPr>
          <w:b/>
        </w:rPr>
        <w:t>E. 17</w:t>
      </w:r>
    </w:p>
    <w:p>
      <w:r>
        <w:t>Le recours est rejeté. Le recourant, qui succombe, n’a pas droit à des dépens.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 E 5 10.03).</w:t>
      </w:r>
    </w:p>
    <w:p>
      <w:r>
        <w:t>A/362/2018 - 32/32 -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