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ATAS/641/2013 vom 25. Juni 2013</w:t>
      </w:r>
    </w:p>
    <w:p>
      <w:r>
        <w:t>GE Cour de justice, 2013-06-25, FR</w:t>
      </w:r>
    </w:p>
    <w:p>
      <w:r>
        <w:rPr>
          <w:b/>
        </w:rPr>
        <w:t xml:space="preserve">Quelle: </w:t>
      </w:r>
      <w:r>
        <w:t>https://mcp.opencaselaw.ch/entscheid/ge_gerichte_ATAS_641_2013</w:t>
      </w:r>
    </w:p>
    <w:p>
      <w:r>
        <w:t>FR: GE_GERICHTE ATAS/641/2013 du 25 juin 2013</w:t>
      </w:r>
    </w:p>
    <w:p>
      <w:r>
        <w:t>IT: GE_GERICHTE ATAS/641/2013 del 25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la procédure de révision instaurée par l'OAI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w:t>
      </w:r>
    </w:p>
    <w:p>
      <w:r>
        <w:rPr>
          <w:b/>
        </w:rPr>
        <w:t>E. 3</w:t>
      </w:r>
    </w:p>
    <w:p>
      <w:r>
        <w:t>Le délai de recours est de 30 jours (art. 60 al. 1 LPGA). Déposé dans les forme et délai prévus par la loi, le présent recours est recevable (art. 39 al. 1 et 60 al. 2 LPGA).</w:t>
      </w:r>
    </w:p>
    <w:p>
      <w:r>
        <w:rPr>
          <w:b/>
        </w:rPr>
        <w:t>E. 4</w:t>
      </w:r>
    </w:p>
    <w:p>
      <w:r>
        <w:t>Le litige porte sur le droit de l'OAI de réviser sa communication du 29 septembre 2004 confirmant la demi-rente d'invalidité octroyée à l'assurée par décision du 21 octobre 1994.</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w:t>
      </w:r>
    </w:p>
    <w:p>
      <w:r>
        <w:t>A/3529/2012 - 8/20 - sociales, est une notion économique et non médicale ; ce sont les conséquences économiques objectives de l’incapacité fonctionnelle qu’il importe d’évaluer (ATF 110 V 275 consid. 4a ; 105 V 207 consid. 2). b)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w:t>
      </w:r>
    </w:p>
    <w:p>
      <w:r>
        <w:t>A/3529/2012 - 9/20 - c)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Ce qui est déterminant c'est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w:t>
      </w:r>
    </w:p>
    <w:p>
      <w:r>
        <w:t>A/3529/2012 - 10/20 -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160 consid. 1c et les références).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Selon l'art. 28 LAI, l'assuré a droit à une rente aux conditions suivantes (al. 1) :</w:t>
      </w:r>
    </w:p>
    <w:p>
      <w:r>
        <w:t>A/3529/2012 - 11/20 -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La rente est échelonnée selon le taux d’invalidité (al. 2) : 40% au moins donne droit à un quart de rente; 50% au moins à une demie rente; 60% au moins à un trois quarts de rente et 70% au moins à une rente entière.</w:t>
      </w:r>
    </w:p>
    <w:p>
      <w:r>
        <w:rPr>
          <w:b/>
        </w:rPr>
        <w:t>E. 8</w:t>
      </w:r>
    </w:p>
    <w:p>
      <w:r>
        <w:t>Tant lors de l'examen initial du droit à la rente qu'à l'occasion d'une révision de celle-ci il faut examiner quelle méthode d'évaluation de l'invalidité il convient d'appliquer. Le choix de l'une des trois méthodes considérées (méthode générale de comparaison des revenus [art. 28a al.1 LAI en corrélation avec l'art. 16 LPGA], méthode spécifique [art. 28 a al.2 LAI en corrélation avec les art. 27 RAI et 8 al. 3 LPGA],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w:t>
      </w:r>
    </w:p>
    <w:p>
      <w:r>
        <w:rPr>
          <w:b/>
        </w:rPr>
        <w:t>E. 9</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w:t>
      </w:r>
    </w:p>
    <w:p>
      <w:r>
        <w:t>A/3529/2012 - 12/20 - permettant de calculer le taux d'invalidité (méthode générale de comparaison des revenus; ATF 130 V 348 consid. 3.4, 128 V 30 consid. 1, 104 V 136 consid. 2a et 2b; art. 28a al. 1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10</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Le revenu de la personne valide se détermine en établissant au degré de la vraisemblance prépondérante ce qu'elle aurait effectivement pu réaliser au moment déterminant si elle était en bonne santé (ATF 129 V 224 consid. 4.3.1 et la</w:t>
      </w:r>
    </w:p>
    <w:p>
      <w:r>
        <w:t>A/3529/2012 - 13/20 -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11</w:t>
      </w:r>
    </w:p>
    <w:p>
      <w:r>
        <w:t>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w:t>
      </w:r>
    </w:p>
    <w:p>
      <w:r>
        <w:rPr>
          <w:b/>
        </w:rPr>
        <w:t>E. 12</w:t>
      </w:r>
    </w:p>
    <w:p>
      <w:r>
        <w:t>Selon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w:t>
      </w:r>
    </w:p>
    <w:p>
      <w:r>
        <w:t>A/3529/2012 - 15/20 - De jurisprudence constante le Tribunal fédéral des assurances a considéré que cette méthode était conforme à la loi et à la volonté du législateur (ATF 125 V 146).</w:t>
      </w:r>
    </w:p>
    <w:p>
      <w:r>
        <w:rPr>
          <w:b/>
        </w:rPr>
        <w:t>E. 13</w:t>
      </w:r>
    </w:p>
    <w:p>
      <w:r>
        <w:t>En l'espèce, il convient d'admettre en premier lieu que le statut de l'assurée est mixte, en ce sens qu'elle a toujours travaillé à temps partiel. L'OAI a considéré que la part professionnelle était de 70% et la part ménagère de 30%, ce que l'assurée ne conteste pas.</w:t>
      </w:r>
    </w:p>
    <w:p>
      <w:r>
        <w:rPr>
          <w:b/>
        </w:rPr>
        <w:t>E. 14</w:t>
      </w:r>
    </w:p>
    <w:p>
      <w:r>
        <w:t>Il s'agit ensuite de déterminer si l'état de santé de l'assurée et sa capacité de travail se sont améliorés depuis la communication du 29 septembre 2004, qui confirme la demi-rente octroyée par décision du 21 octobre 1994 a) Lors de la décision d'octroi, l'OAI s'est fondé sur les rapports du Dr A__________ des 5 mars 1992 et 31 mars 1994 et sur l'enquête ménagère du 15 mars 1994 concluant à un empêchement de 26%. b) Dans le cadre de la première procédure de révision, en 2004, l'OAI s'est référé au rapport du Dr A__________ du 19 mars 2004, selon lequel l'état de santé était stationnaire et a maintenu le droit de l'assurée à une demi-rente. c) Lors de la procédure de révision de rente initiée en février 2010, l'OAI a disposé des documents médicaux suivants: − du rapport d'expertise du Dr E__________ du 25 juillet 2011 selon lequel l'assurée présente une capacité de travail entière dans son activité habituelle de nettoyeuse ou de vendeuse, avec une diminution de rendement de 20%. − du rapport du Dr F__________ du 18 juin 2012, lequel n'a retenu aucun diagnostic psychiatrique ayant une influence sur la capacité de travail. Selon ce médecin, la symptomatologie dépressive n'est pas suffisamment importante pour retenir un trouble anxieux ou un trouble dépressif à part entière. d) La Cour de céans constate que l'expertise du Dr E__________ est en tous points conforme aux réquisits jurisprudentiels relatifs à la valeur probante. Elle se fonde en effet sur un examen clinique de l'assurée, sur l'étude de son dossier médical, relate ses plaintes, contient une anamnèse complète, des diagnostics clairs et des conclusions motivées. Les conclusions du Dr F__________ sont de même claires et bien motivées, de sorte que le rapport de celui-ci a également valeur probante. e) L'assurée conteste que son état de santé se soit amélioré, rappelant que non seulement son handicap au membre supérieur gauche est toujours présent, mais qu'au surplus d'autre atteintes se sont ajoutées, soit plus particulièrement, des problèmes aux cervicales et un état dépressif. Le Dr D__________ considère du reste que sa capacité de travail est nulle.</w:t>
      </w:r>
    </w:p>
    <w:p>
      <w:r>
        <w:t>A/3529/2012 - 16/20 - f) Rien au dossier ne permet toutefois de remettre en cause les conclusions des Drs E__________ et F__________. En effet, le rapport du Dr D__________ ne fait état d'aucun élément qui aurait été ignoré par eux et qui serait suffisamment déterminant pour remettre en cause leurs conclusions. Celui-ci se borne en effet à rappeler l'impotence du membre supérieur gauche et à poser un diagnostic d'état dépressif sans autre précision et sans aucune motivation pertinente. Son rapport ne peut partant se voir reconnaître une valeur probante.</w:t>
      </w:r>
    </w:p>
    <w:p>
      <w:r>
        <w:rPr>
          <w:b/>
        </w:rPr>
        <w:t>E. 15</w:t>
      </w:r>
    </w:p>
    <w:p>
      <w:r>
        <w:t>Il y a dès lors lieu de considérer que l'assurée dispose d'une pleine capacité de travail quelle que soit l'activité envisagée, avec toutefois une diminution de rendement de 20%.</w:t>
      </w:r>
    </w:p>
    <w:p>
      <w:r>
        <w:rPr>
          <w:b/>
        </w:rPr>
        <w:t>E. 16</w:t>
      </w:r>
    </w:p>
    <w:p>
      <w:r>
        <w:t>L'assurée reproche à l'OAI de n'avoir pas pris comme revenu sans invalidité celui d'aide-vendeuse et comme revenu avec invalidité celui de femme de ménage. a) En matière de révision, l'évaluation du taux d'invalidité obéit aux prescriptions générales et notamment aux principes de l'art. 16 LPGA. La Cour de céans rappelle que pour procéder à la comparaison des revenus selon l'art. 16 LPGA, il convient de se placer au moment de la décision litigieuse, soit en avril 2010. Les revenus avec et sans invalidité doivent donc être déterminés par rapport à un même moment et les modifications de ces revenus survenues jusqu'au moment où la décision est rendue doivent être prises en compte, dans la mesure où elles sont susceptibles d'influencer le droit à la rente. Ainsi, la date de la décision litigieuse doit être retenue pour indexer les salaires.</w:t>
      </w:r>
    </w:p>
    <w:p>
      <w:r>
        <w:rPr>
          <w:b/>
        </w:rPr>
        <w:t>E. 17</w:t>
      </w:r>
    </w:p>
    <w:p>
      <w:r>
        <w:t>L'assurée souhaiterait qu'il ne soit pas fait appel aux données statistiques pour le calcul de son revenu avec invalidité. Le revenu d'invalide doit être évalué avant tout en fonction de la situation professionnelle concrète de l'intéressé. En l'absence d'un revenu effectivement réalisé toutefois, la jurisprudence considère que le revenu d'invalide peut être évalué sur la base des statistiques salariales (ATF 126 V 75). A conditions de respecter certaines exigences de procédure, la détermination du revenu d'invalide sur la base de données salariales concrètes est un procédé admis par le Tribunal fédéral des assurances au même titre que le recours aux données statistiques économiques (voir ATF 129 V 472). Il n'y a pas de hiérarchie entre ces deux méthodes. Il est vrai qu'il est souvent fait recours aux valeurs statistiques pour fixer le revenu d'invalide.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Si</w:t>
      </w:r>
    </w:p>
    <w:p>
      <w:r>
        <w:t>A/3529/2012 - 17/20 - l’assuré ne réalise pas entièrement le taux d’occupation raisonnablement exigible de lui, le salaire réalisé peut, dans certaines conditions, être converti afin qu’il corresponde à ce taux d’occupation (I 171/04, 8C_579/2009, 8C_25/2010). Ainsi, dans le cas d'un assuré qui avait bénéficié d'un reclassement dans une profession bien précise, et dont le taux de l'activité exercée était inférieur à ce qui était exigible de sa part, le TF a envisagé de retenir, à titre de revenu d'invalide, le salaire perçu au service de son employeur actuel rapporté au taux exigible (arrêt du TF du 1er avril 2005, I 171/2004).</w:t>
      </w:r>
    </w:p>
    <w:p>
      <w:r>
        <w:rPr>
          <w:b/>
        </w:rPr>
        <w:t>E. 18</w:t>
      </w:r>
    </w:p>
    <w:p>
      <w:r>
        <w:t>En l'espèce, l'assurée travaille comme femme de ménage dans un cabinet de physiothérapie à raison d'une fois deux heures par semaine, ce qui représente un 7 %, rémunéré 18 fr. 20 de l'heure. Selon le certificat de salaire établi par son employeur le 18 janvier 2010, elle a ainsi effectivement réalisé 2'788 fr. pour l'année 2009. Il a été considéré que l'assurée disposait d'une pleine capacité de travail, quelle que soit l'activité envisagée, avec toutefois une diminution de rendement de 20%. Déterminer son revenu avec invalidité sur la base des données statistiques qui recouvrent un large éventail d'activités variées et non qualifiées, en l'occurrence les ESS 2008 secteur 3 services femmes, niveau 4, n'est en conséquence pas critiquable, dans la mesure où l'assurée n'exerce effectivement une activité qu'à temps très partiel (7%) comparé au temps exigible, soit un taux de 100% avec une diminution de rendement de 20%. La part consacrée à l'activité professionnelle étant de 70%, c'est dès lors à juste titre que l'OAI s'est fondé sur ces données statistiques, afin d'établir le revenu avec invalidité correspondant aux 63 % restants (70 % ./. 7 %) et a obtenu le revenu de 32'831 fr. (52 113 fr. x 63 : 100). Il y a à cet égard lieu de rappeler que l'assurée a elle-même indiqué, dans le cadre de l'enquête ménagère du 21 décembre 2010, qu'elle aimerait travailler davantage, mais que son employeur ne pouvait pas lui proposer plus d'heures. Quoi qu'il en soit, même si l'on déterminait le revenu avec invalidité dans son intégralité sur la base de la rémunération réellement perçue, le résultat ne conduirait pas des conclusions différentes. En effet, le calcul serait le suivant : 18 fr. 20 de l'heure x 40 heures par semaine x 4 = 2'912 fr. par mois = 34'944 fr. (p.m. le revenu retenu par l'OAI est de 35'619 fr.). Cela étant, si l'OAI a correctement tenu compte d'un montant de 35'619 fr., soit 32'831 fr. + 2'788 fr., il a toutefois oublié la diminution de rendement de 20%. Ce n'est donc pas un gain d'invalidité raisonnablement exigible de 35'619 fr. qu'il y a lieu de retenir, mais de 28'495 fr.</w:t>
      </w:r>
    </w:p>
    <w:p>
      <w:r>
        <w:rPr>
          <w:b/>
        </w:rPr>
        <w:t>E. 19</w:t>
      </w:r>
    </w:p>
    <w:p>
      <w:r>
        <w:t>S'agissant du revenu sans invalidité, l'OAI a retenu un montant de 39'032 fr. sur la base des statistiques.</w:t>
      </w:r>
    </w:p>
    <w:p>
      <w:r>
        <w:t>A/3529/2012 - 18/20 - L'assurée souhaiterait que soit plutôt pris en considération le revenu d'aide vendeuse qu'elle a réalisé chez Y__________ du 18 janvier 1988 au 8 janvier 1990. Il ressort des comptes individuels de cotisations de l'assurée qu'elle gagnait 15'736 fr. en 1988 et 17'530 fr. en 1989. Y__________ a indiqué que l'assurée aurait réalisé en 2009 un revenu annuel brut de 50'050 fr. (ou 53'300 fr.) pour un emploi à plein temps, ce qui représente pour une activité exercée à 73%, un revenu de 36'536 fr. (ou 38'909 fr.). Force est de constater que ce revenu correspond à peu de choses près à celui retenu par l'OAI, de sorte que la question de savoir si c'est ce revenu ou celui résultant des statistiques peut être laissée ouverte.</w:t>
      </w:r>
    </w:p>
    <w:p>
      <w:r>
        <w:rPr>
          <w:b/>
        </w:rPr>
        <w:t>E. 20</w:t>
      </w:r>
    </w:p>
    <w:p>
      <w:r>
        <w:t>L'OAI a conclu à un taux d'invalidité de 9% s'agissant de la part professionnelle ([39'032 – 35'619] : 39'032 x 100 = 9 %), étant précisé qu'il n'a déduit aucun abattement supplémentaire. Il faut en réalité, au vu de ce qui précède, s'agissant du revenu d'invalidité, retenir un degré d'invalidité de 27% ([39'032 fr. - 28'495 fr.] : 39'032 fr. x 100 = 27%)</w:t>
      </w:r>
    </w:p>
    <w:p>
      <w:r>
        <w:rPr>
          <w:b/>
        </w:rPr>
        <w:t>E. 21</w:t>
      </w:r>
    </w:p>
    <w:p>
      <w:r>
        <w:t>De l'enquête économique sur le ménage réalisée le 21 décembre 2010, il résulte un taux d'empêchement à accomplir les tâches ménagères de 19,80%.</w:t>
      </w:r>
    </w:p>
    <w:p>
      <w:r>
        <w:rPr>
          <w:b/>
        </w:rPr>
        <w:t>E. 22</w:t>
      </w:r>
    </w:p>
    <w:p>
      <w:r>
        <w:t>Le taux d'invalidité se présente dès lors comme suit:</w:t>
      </w:r>
    </w:p>
    <w:p>
      <w:r>
        <w:t>Quote-part Limitations handicap Activité lucrative 70% 27% 25% Tâches ménagères 30% 20% 6% Taux d'invalidité</w:t>
      </w:r>
    </w:p>
    <w:p>
      <w:r>
        <w:t>31%</w:t>
      </w:r>
    </w:p>
    <w:p>
      <w:r>
        <w:rPr>
          <w:b/>
        </w:rPr>
        <w:t>E. 23</w:t>
      </w:r>
    </w:p>
    <w:p>
      <w:r>
        <w:t>Force est de constater que ce taux de 31 % reste insuffisant pour justifier l'octroi d'une rente d'invalidité (art. 28 al. 2 LAI). Les conditions de la révision étant réunies, l'OAI était en droit de supprimer la demi-rente jusque-là versée à l'assurée.</w:t>
      </w:r>
    </w:p>
    <w:p>
      <w:r>
        <w:rPr>
          <w:b/>
        </w:rPr>
        <w:t>E. 24</w:t>
      </w:r>
    </w:p>
    <w:p>
      <w:r>
        <w:t>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w:t>
      </w:r>
    </w:p>
    <w:p>
      <w:r>
        <w:t>A/3529/2012 - 19/20 -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consid. 3a). Le pourcentage est calculé selon les mêmes principes que ceux appliqués lors de la détermination du degré d’invalidité dans le cas du droit à une rente (VSI 2000, p. 63, RCC 1984, p. 95). Pour déterminer si une mesure de réadaptation d'ordre professionnel est de nature à rétablir, améliorer, sauvegarder ou favoriser l'usage de la capacité de gain de l'assuré, il y a toutefois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170/06). En l'espèce, l'assurée présente un taux d'invalidité de 20 %, soit le seuil minimum fixé par la jurisprudence pour ouvrir droit à une mesure de reclassement, ce qui permet d'envisager une telle mesure. Des mesures de réadaptation professionnelle ne sauraient toutefois être accordées dans son cas, dans la mesure où elle a été considérée comme étant capable de travailler dans ses activités d'aide-vendeuse ou de nettoyeuse et que les activités simples et répétitives qu'elle est susceptible d'exercer ne requièrent pas de formation particulière si ce n'est une mise au courant pratique en entreprise, ce qui exclut l'octroi de mesures aussi onéreuses. Aussi le recours doit-il être rejeté.</w:t>
      </w:r>
    </w:p>
    <w:p>
      <w:r>
        <w:t>A/3529/2012 - 20/20 -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