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ATAS/641/2008 vom 29. Mai 2008</w:t>
      </w:r>
    </w:p>
    <w:p>
      <w:r>
        <w:t>GE Cour de justice, 2008-05-29, FR</w:t>
      </w:r>
    </w:p>
    <w:p>
      <w:r>
        <w:rPr>
          <w:b/>
        </w:rPr>
        <w:t xml:space="preserve">Quelle: </w:t>
      </w:r>
      <w:r>
        <w:t>https://mcp.opencaselaw.ch/entscheid/ge_gerichte_ATAS_641_2008</w:t>
      </w:r>
    </w:p>
    <w:p>
      <w:r>
        <w:t>FR: GE_GERICHTE ATAS/641/2008 du 29 mai 2008</w:t>
      </w:r>
    </w:p>
    <w:p>
      <w:r>
        <w:t>IT: GE_GERICHTE ATAS/641/2008 del 29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t>A/1847/2007 - 20/25 -</w:t>
      </w:r>
    </w:p>
    <w:p>
      <w:r>
        <w:rPr>
          <w:b/>
        </w:rPr>
        <w:t>E. 2</w:t>
      </w:r>
    </w:p>
    <w:p>
      <w:r>
        <w:t>Interjeté dans les forme et délai légaux (art. 56 à 60 LPGA), le recours est recevable.</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litigieuse en l’espèce la question de savoir si la recourante peut prétendre une rente de l’assurance-invalidité, singulièrement quel est son taux d’invalidité. Il convient en effet de relever que l'assurée n'a pas interjeté recours contre la décision lui refusant l'octroi de mesures de réadaptation.</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w:t>
      </w:r>
    </w:p>
    <w:p>
      <w:r>
        <w:t>A/1847/2007 - 21/25 -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t>A/1847/2007 - 22/25 -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En l’espèce, l’intimé a refusé l'octroi d'une rente à la recourante. Il a considéré que cette dernière serait capable d'exercer à 70% son ancienne activité - soit un taux plus élevé que son taux d'occupation précédent - et n'est empêchée d'accomplir ses tâches ménagères qu'à hauteur de 36%, ce qui représente un degré d'invalidité global de 30,28%, insuffisant pour lui ouvrir droit à une rente. L'OCAI s'est basé sur l'enquête ménagère d'une part, sur l'avis des Drs U_________ et T_________, du SMR, d'autre part, lesquels ont conclu à une capacité de travail de 70% dans l'activité précédemment exercée. Force est cependant de constater qu'au moment de leur examen, aucun de ces deux médecins n'avait l'autorisation de pratique dans le canton de Vaud. Or, dans un arrêt I 65/07 du 31 août 2007, la IIe Cour de droit social du Tribunal fédéral a considéré qu'un rapport médical signé par la Dresse T_________ ne pouvait se voir attribuer une pleine valeur probante, en raison d'irrégularités d'ordre formel liées, d'une part, à l'utilisation d'un titre ("psychiatre FMH") auquel ce médecin ne pouvait prétendre mais également, d'autre part, au fait qu'elle ne disposait pas de l'autorisation de pratiquer prévue par le droit cantonal. Le Tribunal fédéral a considéré qu'il n'était pas possible de tirer d'un tel rapport des conclusions définitives sur l'état de santé d'un assuré, ni de fonder son appréciation uniquement sur cette pièce médicale (cette jurisprudence a depuis lors été confirmée par la Haute Cour, notamment dans un arrêt C_490/2007 du 10 avril 2008 consid. 3.2). Le Tribunal de céans ne saurait donc fonder son opinion sur les seuls rapports des médecins du SMR, d'autant plus qu'en l'occurrence, le dossier de l'assurée comprend bien d'autres évaluations émanant de spécialistes et contredisant les conclusions des Drs U_________ et T_________. Les spécialistes qui se sont exprimés sont certes les médecins traitants de l'assurée mais ils font état d’éléments objectifs suffisants pour remettre en cause les conclusions des médecins du SMR.</w:t>
      </w:r>
    </w:p>
    <w:p>
      <w:r>
        <w:t>A/1847/2007 - 23/25 - Il convient en premier lieu de relever que la discordance relevée par le Dr U_________ entre les plaintes de l'assurée et les éléments objectivables a été infirmée tant par le Dr L__________ (qui a souligné la nécessité pour la patiente de recourir à des antalgiques majeurs), que par le Dr N_________ (qui a souligné que les douleurs neurogènes sont les pires qui puissent se manifester) ou Madame G_________. En particulier, s'agissant des éléments mis en avant par le Dr U_________ pour conclure à une amplification des symptômes, le Dr L__________, spécialiste FMH en chirurgie de la main, a souligné que dans le cas de la patiente, la compression n'augmentait pas seulement à l'élévation du bras mais également à la rotation de la tête, que le nerf lunaire est beaucoup moins sensible - ce qui peut expliquer l'absence de signes de gravité aux examens - et que la scintigraphie osseuse a objectivement montré une hypercaptation même si celle-ci n'est pas majeure. Le Dr L__________ a par ailleurs émis l'avis que l'on ne peut tirer argument de la réponse partielle au traitement chirurgical, car toutes les atteintes ne sont malheureusement pas guérissables. Il a encore souligné que le problème, chez la recourante, n'est pas seulement neurogène mais également articulaire puisqu'un examen pratiqué en août 2002 a montré des fragmentations au niveau du poignet droit pour lesquelles rien ne peut être entrepris au plan thérapeutique. Enfin, le Dr L__________ a relevé que les membres supérieurs occupent une place importante dans le schéma corporel, ce qui augmente le retentissement des douleurs. S'agissant de la capacité de travail de l'assurée, le Dr L__________, a dans un premier temps émis l'opinion, en septembre 2003, que si la patiente ne pouvait plus exercer la profession d'employée de la poste, elle pourrait pratiquer une autre activité légère, par exemple celle de gérante de kiosque ou de réceptionniste, à 100% et sans diminution de rendement. Par la suite (cf. rapport du 17 janvier 2005), le Dr L__________, constatant que les douleurs invalidantes persistaient même lors d'activités légères et qu'elles contraignaient la patiente à prendre des antalgiques majeurs, est cependant revenu sur sa position et a conclu à une incapacité totale de l'assurée, précisant qu'il serait difficile de lui trouver un poste adapté. Le Dr L__________ a expliqué en audience de manière convaincante les raisons pour lesquelles il a modifié son appréciation de la capacité de travail de sa patiente, bien que l'état de cette dernière soit demeuré globalement stationnaire : il a pu objectivement constater que malgré l'aménagement de son poste de travail, l'assurée était amenée à faire des mouvements répétitifs des membres supérieurs, incompatibles avec son état de santé. Cependant, le Dr L__________ a émis l'avis que, dans une profession véritablement adaptée - c'est-à-dire évitant le port de charges, les mouvements répétitifs des membres supérieurs et les positions statiques - l'assurée conservait une capacité de travail entière.</w:t>
      </w:r>
    </w:p>
    <w:p>
      <w:r>
        <w:t>A/1847/2007 - 24/25 - Le Dr N_________, généraliste, a quant à lui émis l'opinion que, compte tenu du fait que même les activités simples de la vie quotidienne tel qu'ouvrir un robinet sont difficiles, l'assurée ne peut exercer la moindre activité lucrative Force est de constater que les appréciations des différents médecins divergent donc grandement quant à la capacité de travail de l'assurée. En l'état, si les atteintes à la santé ne semblent pas contestées, il n'en va pas de même, en revanche, de leurs répercussions sur la capacité de travail résiduelle de l'assurée. Eu égard aux considérations qui précèdent, le Tribunal de céans considère que le dossier n'est pas en état d'être jugé vu les divergences d'opinion des médecins quant à la capacité résiduelle de travail de l'assurée et le fait que le Tribunal ne saurait se baser sur le rapport du Dr U_________ pour les raisons précédemment évoquées. Il conviendrait d'investiguer plus précisément la question de la capacité de travail de la recourante en mettant sur pied une expertise pluridisciplinaire confié à un médecin indépendant spécialisé en rhumatologie et/ou en neurologie, à un médecin spécialisé en psychiatrie, le cas échéant en mettant également en œuvre une mesure d'observation professionnelle afin de déterminer quelles sont concrètement les activités pouvant entrer en ligne de compte pour l'assurée, l'instruction ayant en tout cas permis d'établir que l'activité précédemment exercée, même après aménagement du poste de travail, n'est plus envisageable.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Eu égard aux considérations qui précèdent, le recours est admis et la cause renvoyée à l'intimé afin que ce dernier, après avoir fait procéder à une expertise pluridisciplinaire - visant à déterminer la gravité des atteintes à la santé de l'assurée et la mesure dans laquelle elles influencent sa capacité de travail - et, le cas échéant, mis en œuvre une mesure d'observation professionnelle, se détermine sur le degré d'invalidité de la recourante et son droit à des prestations de l'assurance-invalidité.</w:t>
      </w:r>
    </w:p>
    <w:p>
      <w:r>
        <w:t>A/1847/2007 - 25/25 -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