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ATAS/640/2025 vom 26. August 2025</w:t>
      </w:r>
    </w:p>
    <w:p>
      <w:r>
        <w:t>GE Cour de justice, 2025-08-26, FR</w:t>
      </w:r>
    </w:p>
    <w:p>
      <w:r>
        <w:rPr>
          <w:b/>
        </w:rPr>
        <w:t xml:space="preserve">Quelle: </w:t>
      </w:r>
      <w:r>
        <w:t>https://mcp.opencaselaw.ch/entscheid/ge_gerichte_ATAS_640_2025</w:t>
      </w:r>
    </w:p>
    <w:p>
      <w:r>
        <w:t>FR: GE_GERICHTE ATAS/640/2025 du 26 août 2025</w:t>
      </w:r>
    </w:p>
    <w:p>
      <w:r>
        <w:t>IT: GE_GERICHTE ATAS/640/2025 del 26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2.1</w:t>
      </w:r>
    </w:p>
    <w:p>
      <w:r>
        <w:t>Le 1er janvier 2022, les modifications de la LAI du 19 juin 2020 (développement continu de l’AI ; RO 2021 705) ainsi que celles du</w:t>
      </w:r>
    </w:p>
    <w:p>
      <w:r>
        <w:rPr>
          <w:b/>
        </w:rPr>
        <w:t>E. 2.2</w:t>
      </w:r>
    </w:p>
    <w:p>
      <w:r>
        <w:t>En l’occurrence, un éventuel droit à une rente d’invalidité naîtrait au plus tôt en février 2024, soit six mois après le dépôt de la demande du 18 août 2023 (art. 29 al. 1 LAI), de sorte que les dispositions légales applicables seront citées dans leur nouvelle teneur.</w:t>
      </w:r>
    </w:p>
    <w:p>
      <w:r>
        <w:rPr>
          <w:b/>
        </w:rPr>
        <w:t>E. 3</w:t>
      </w:r>
    </w:p>
    <w:p>
      <w:r>
        <w:t>Le litige porte sur le bien-fondé de la décision du 2 octobre 2024, par laquelle l’intimé a nié le droit aux prestations du recourant, au motif qu’il ne présentait pas d’atteinte à la santé incapacitante.</w:t>
      </w:r>
    </w:p>
    <w:p>
      <w:r>
        <w:rPr>
          <w:b/>
        </w:rPr>
        <w:t>E. 4</w:t>
      </w:r>
    </w:p>
    <w:p>
      <w:r>
        <w:t>Conformément à l’art. 8 LPGA, est réputée invalidité, l'incapacité de gain totale ou partielle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4 al. 1 LAI précise que l’invalidité (art. 8 LPGA) peut résulter d’une infirmité congénitale, d’une maladie ou d’un accident.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avril 2001 consid. 1). Selon l’art. 28 al. 1 LAI, l’assuré a droit à une rente aux conditions suivantes : sa capacité de gain ou sa capacité d’accomplir ses travaux habituels ne peut pas être rétablie, maintenue ou améliorée par des mesures de réadaptation raisonnablement</w:t>
      </w:r>
    </w:p>
    <w:p>
      <w:r>
        <w:t>A/3671/2024 - 13/19 - exigibles (let. a) ; il a présenté une incapacité de travail (art. 6 LPGA) d’au moins 40% en moyenne durant une année sans interruption notable (let. b) ; au terme de cette année, il est invalide (art. 8 LPGA) à 40% au moins (let. c). 5. 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A/3671/2024 - 14/19 - degré d’invalidité lors d’une nouvelle révision de la rente (ATF 133 V 108 consid. 5.4 ; 130 V 343 consid. 3.5.2). L’incapacité de gain peut s’aggraver par la survenance d’une nouvelle maladie ou par la détérioration de l’atteinte préexistante ainsi que par un changement de statut de l’assuré (ch. 4007 de la Circulaire sur l’invalidité et l’impotence dans l’assurance-invalidité [CIIAI]), dans sa teneur en vigueur au cours de la période litigieuse).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w:t>
      </w:r>
    </w:p>
    <w:p>
      <w:r>
        <w:t>A/3671/2024 - 15/19 -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S'agissant de la valeur probante des rapports du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(ATF 137 V 210 consid. 1.2.1 ; arrêt du Tribunal fédéral 8C_697/2023 du 17 septembre 2024 consid. 3.3.2 et la référence).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 du Tribunal fédéral 8C_697/2023 du 17 septembre 2024 consid. 3.3.2 et la référence).</w:t>
      </w:r>
    </w:p>
    <w:p>
      <w:r>
        <w:t>A/3671/2024 - 16/19 -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A/3671/2024 - 17/19 -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 En l’espèce, dans sa dernière écriture du 27 juin 2025, l’intimé s’est référé à l’avis du SMR et a proposé de reprendre l’instruction du dossier en l’absence de rapports médicaux relatifs à l’opération subie par le recourant en 2021. Ce faisant, il conclut donc à l’admission partielle du recours. La chambre de céans relèvera cependant que la poursuite des investigations devra porter sur l’ensemble des troubles présentés par le recourant et l’évolution de son état de santé jusqu’au prononcé de la nouvelle décision, et non pas se limiter aux seules lésions du pouce gauche, comme suggéré par le SMR dans son avis 26 juin 2025. 8.1 En effet, les conclusions du Dr F______ quant à l’absence de toute autre atteinte susceptible d’entrainer des répercussions durables sur la capacité de travail ne sauraient en l’état être suivies, faute de reposer sur des documents médicaux circonstanciés. Il est rappelé à cet égard que les rapports radiologiques ne renseignent pas sur les plaintes du recourant, sur les restrictions en lien avec les lésions mises en évidence et sur leur éventuelle influence sur la capacité de travail. Il en va de même du rapport de l'unité de cardiologie interventionnelle et coronaire des Hôpitaux de Paris, lequel concerne exclusivement l’opération réalisée au mois d'août 2024, ainsi que des divers documents émanant de la Clinique Genolier, qui ne contiennent pas d’informations sur les contre-indications pouvant découler des troubles cardiologiques et leur impact potentiel sur l’exercice d’une activité professionnelle. S’agissant des attestations des médecins traitants, elles sont manifestement lacunaires. À titre d’exemples, le rapport du 14 novembre 2024 du Dr G______ ne consigne pas tous les diagnostics posés par le corps médical, puisque les troubles cardiaques ne sont pas du tout mentionnés. L’anamnèse est plus qu’imprécise, dès lors qu’elle ne permet même pas de connaître les dates des interventions chirurgicales. Ce document ne contient en outre aucune description d’un examen clinique, ni des symptômes présentés par le patient. Il ne mentionne pas non plus les limitations fonctionnelles et ne prend pas position sur la capacité</w:t>
      </w:r>
    </w:p>
    <w:p>
      <w:r>
        <w:t>A/3671/2024 - 18/19 - de travail. Quant au Dr C______, il a uniquement indiqué, dans son rapport du</w:t>
      </w:r>
    </w:p>
    <w:p>
      <w:r>
        <w:rPr>
          <w:b/>
        </w:rPr>
        <w:t>E. 13</w:t>
      </w:r>
    </w:p>
    <w:p>
      <w:r>
        <w:t>novembre 2024, que l’état de santé du patient s’était aggravé à partir du mois d'août 2024 en raison d'un symptôme coronaire aigu ayant nécessité la pose d'un stent, ajoutant que l’intéressé était en traitement et sous surveillance continue depuis lors. Ce médecin n’a donc pas non plus rapporté de diagnostics clairs et précis, de plaintes, de constats objectifs. Il ne s’est pas davantage déterminé sur les limitations fonctionnelles. En outre, de nombreuses pathologies ont été mises en évidence par des examens radiologiques, sans qu’aucun de ces médecins traitants ne les évalue. Il en va ainsi de la chondropathie bilatérale des genoux, des signes de gonarthrose et d’ossification adjacente à la tubérosité tibiale antérieure du genou droit, du pincement fémoro-patellaire externe du genou gauche, des troubles au niveau du pied droit ayant justifié des radiographies en octobre 2024, de la protrusion discale L4-L5 et L5-S1, et des lésions dégénératives des articulations sacro-iliaques. 8.2 La chambre de céans soulignera en outre que l’intimé avait admis, dans sa décision du 6 février 2017 entrée en force, que le recourant n’était plus en mesure d’exercer son activité habituelle dans le nettoyage, sur la base de l’appréciation du SMR, lequel avait retenu des restrictions en lien avec les hyper-flexions du genou droit, le port de charges de plus de 5 kg, les positions accroupies et à genoux, les activités principalement en marchant, les montées sur des échelles ou des échafaudages, ainsi que les rotations en position assise et debout en raison des gonalgies incapacitantes (cf. avis du 6 décembre 2016). Après comparaison des revenus avec et sans invalidité, l’intimé avait conclu à un degré d’invalidité de 10%, insuffisant pour donner droit à une rente. La nouvelle appréciation de l’intimé, qui ne retient plus aucun trouble incapacitant au genou droit, alors que de nouvelles atteintes ont été décelées aux deux genoux, est incompréhensible en l’absence de toute motivation. À toutes fins utiles, il sera relevé à cet égard que le recourant a expliqué, lors de sa comparution personnelle, qu’il n’avait eu d’autre choix que de continuer à exercer des professions non adaptées à son état de santé et que sa chute de janvier 2023 était survenue après un lâchage de son genou. 9. Il convient donc d’admettre partiellement le recours et de renvoyer le dossier à l’intimé pour qu’il procède à une instruction médicale approfondie, en sollicitant des rapports médicaux complets et détaillés auprès de tous les spécialistes qui suivent le recourant, cas échéant en mettant en œuvre une expertise administrative afin d’évaluer la situation médicale dans sa globalité, puis rende une nouvelle décision. Au vu du sort du recours, il y a lieu de condamner l'intimé au paiement d'un émolument de CHF 200.- (art. 69 al. 1bis LAI). PAR CES MOTIFS, LA CHAMBRE DES ASSURANCES SOCIALES :</w:t>
      </w:r>
    </w:p>
    <w:p>
      <w:r>
        <w:t>A/3671/2024 - 19/19 -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