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ATAS/640/2021 vom 17. Juni 2021</w:t>
      </w:r>
    </w:p>
    <w:p>
      <w:r>
        <w:t>GE Cour de justice, 2021-06-17, FR</w:t>
      </w:r>
    </w:p>
    <w:p>
      <w:r>
        <w:rPr>
          <w:b/>
        </w:rPr>
        <w:t xml:space="preserve">Quelle: </w:t>
      </w:r>
      <w:r>
        <w:t>https://mcp.opencaselaw.ch/entscheid/ge_gerichte_ATAS_640_2021</w:t>
      </w:r>
    </w:p>
    <w:p>
      <w:r>
        <w:t>FR: GE_GERICHTE ATAS/640/2021 du 17 juin 2021</w:t>
      </w:r>
    </w:p>
    <w:p>
      <w:r>
        <w:t>IT: GE_GERICHTE ATAS/640/2021 del 17 giugno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2 de la loi sur l'organisation judiciaire, du 26 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831.20). Sa compétence pour juger du cas d’espèce est ainsi établie.</w:t>
      </w:r>
    </w:p>
    <w:p>
      <w:r>
        <w:rPr>
          <w:b/>
        </w:rPr>
        <w:t>E. 2</w:t>
      </w:r>
    </w:p>
    <w:p>
      <w:r>
        <w:t>Interjeté dans les forme et délai prescrits par la loi, le recours est recevable.</w:t>
      </w:r>
    </w:p>
    <w:p>
      <w:r>
        <w:rPr>
          <w:b/>
        </w:rPr>
        <w:t>E. 3</w:t>
      </w:r>
    </w:p>
    <w:p>
      <w:r>
        <w:t>Selon l'art. 53 al. 3 LPGA, l'assureur peut reconsidérer une décision contre laquelle un recours est formé jusqu'à l'envoi de son préavis. En l'occurrence, l'intimé a ainsi proposé l'admission du recours, sans rendre de décision formelle, de sorte qu’il convient de statuer en ce sens.</w:t>
      </w:r>
    </w:p>
    <w:p>
      <w:r>
        <w:t>A/1516/2021 - 3/3 -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