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ATAS/63/2024 vom 20. September 2023</w:t>
      </w:r>
    </w:p>
    <w:p>
      <w:r>
        <w:t>GE Cour de justice, 2023-09-20, FR</w:t>
      </w:r>
    </w:p>
    <w:p>
      <w:r>
        <w:rPr>
          <w:b/>
        </w:rPr>
        <w:t xml:space="preserve">Quelle: </w:t>
      </w:r>
      <w:r>
        <w:t>https://mcp.opencaselaw.ch/entscheid/ge_gerichte_ATAS_63_2024</w:t>
      </w:r>
    </w:p>
    <w:p>
      <w:r>
        <w:t>FR: GE_GERICHTE ATAS/63/2024 du 20 septembre 2023</w:t>
      </w:r>
    </w:p>
    <w:p>
      <w:r>
        <w:t>IT: GE_GERICHTE ATAS/63/2024 del 20 settembre 2023</w:t>
      </w:r>
    </w:p>
    <w:p>
      <w:pPr>
        <w:pStyle w:val="Heading2"/>
      </w:pPr>
      <w:r>
        <w:t>Erwägungen</w:t>
      </w:r>
    </w:p>
    <w:p>
      <w:r>
        <w:rPr>
          <w:b/>
        </w:rPr>
        <w:t>E. 30</w:t>
      </w:r>
    </w:p>
    <w:p>
      <w:r>
        <w:t>septembre 2023. Elle devait être déclarée sans objet pour la demande de restitution de l’effet suspensif concernant le remboursement du trop-perçu, soit CHF 16'849.-, dès lors que la décision querellée mentionnait expressément que le recours concernant la demande de remboursement avait un effet suspensif. c. Sur ce, la chambre de céans a informé les parties, par courrier du 31 janvier 2024, que la cause était gardée à juger sur demande de restitution de l’effet suspensif.</w:t>
      </w:r>
    </w:p>
    <w:p>
      <w:r>
        <w:t>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- 4/8 -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Le 1er janvier 2021 est entrée en vigueur la modification du 21 juin 2019 de la LPGA. Interjeté postérieurement au 1er janvier 2021, le recours est par conséquent soumis au nouveau droit (cf. art. 82a LPGA a contrario). 4. Interjeté dans la forme et le délai prévus par la loi, le recours est prima facie recevable (art. 56 et 60 LPGA ; art. 89B de la loi sur la procédure administrative du 12 septembre 1985 [LPA - E 5 10]). 5. Le recours conclut, préalablement, à la restitution de l’effet suspensif. L’objet du litige traité par le présent arrêt incident comprend deux volets, d’une part, la demande de remboursement et d’autre part, la réduction du montant des prestations complémentaires versées mensuellement. 6.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En l’occurrence, on peut d’ores et déjà relever que la demande de restitution de l’effet suspensif concernant le volet de la décision portant sur la restitution des prestations est sans objet dès lors que la restitution des prestations est déjà assortie de l’effet suspensif. 7. 7.1 S’agissant de la réduction contestée par la recourante du montant des prestations complémentaires, on rappellera que selon le message du Conseil fédéral du 2 mars 2018 concernant la modification de la LPGA (FF 2018 1597), l’art. 49 al. 5 LPGA correspond à l’ancien art. 97 de la loi fédérale sur l'assurance-vieillesse et survivants du 20 décembre 1946 (LAVS - RS 831.10), en vigueur jusqu’au</w:t>
      </w:r>
    </w:p>
    <w:p>
      <w:r>
        <w:rPr>
          <w:b/>
        </w:rPr>
        <w:t>E. 31</w:t>
      </w:r>
    </w:p>
    <w:p>
      <w:r>
        <w:t>décembre 2020), et selon la jurisprudence, également par analogie à l’assurance- chômage et à l’assurance-maladie. Il était alors possible, par une application étendue de l’art. 55 al. 2 de la loi sur la procédure administrative du 20 décembre 1968 (PA - RS 107.021) en relation avec l’art. 55 al. 1 LPGA, de priver de l’effet suspensif tout recours éventuel contre une décision qui ne portait pas sur une</w:t>
      </w:r>
    </w:p>
    <w:p>
      <w:r>
        <w:t>- 5/8 -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7.2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8. 8.1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 LPGA). 8.2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 8.3 En droit cantonal, selon l’art. 18 du règlement relatif aux prestations cantonales complémentaires à l'assurance-vieillesse et survivants et à l’assurance-invalidité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Une telle requête doit être traitée sans délai (al. 2). 8.4 L’art. 66 LPA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w:t>
      </w:r>
    </w:p>
    <w:p>
      <w:r>
        <w:t>- 6/8 - 9. 9.1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9.2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9.3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t>- 7/8 - 10. 10.1 En l’espèce, la recourante conteste les montants pris en compte par le SPC à titre de revenus. Celui-ci s’en est déjà expliqué, suite à l’opposition, dans le cadre de la décision querellée. La recourante reprend la même argumentation, sans toutefois être en mesure de la rendre vraisemblable par pièce. Partant, et dans le cadre de l’état de fait tel qu’il résulte du dossier, la chambre de céans considère, sans se livrer à de longues investigations complémentaires qui feront l’objet de l’arrêt rendu au fond, que l’état de fait résultant du dossier permet de justifier la réduction des prestations complémentaires versées par l’intimé. 10.2 S’agissant des chances de succès de la recourante, il sied de constater qu’au regard de la jurisprudence constante en matière de pension alimentaire et de l’obligation faite au créancier de ladite pension d’entamer des démarches judiciaires à l’encontre du débiteur de la pension, les chances de succès de la recourante de l’emporter sur le fond sont loin d’être établies. 10.3 Enfin, au regard de la situation financière fragile de la recourante, l’intérêt de l’administration à ne pas verser de prestations, dont elle aurait du mal à obtenir le remboursement éventuel, paraît prépondérant, par rapport aux intérêts de la recourante, qui ne rend pas vraisemblable l’éventuelle gravité de l’atteinte. 11. À l’aune de ce qui précède, la chambre de céans n’a d’autre choix que de rejeter la demande de restitution de l’effet suspensif portant sur la diminution de la quotité des prestations complémentaires.</w:t>
      </w:r>
    </w:p>
    <w:p>
      <w:r>
        <w:t>- 8/8 - PAR CES MOTIFS, LA CHAMBRE DES ASSURANCES SOCIALES : Statuant selon l’art. 21 al. 2 LPA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