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ATAS/63/2023 vom 2. Februar 2023</w:t>
      </w:r>
    </w:p>
    <w:p>
      <w:r>
        <w:t>GE Cour de justice, 2023-02-02, FR</w:t>
      </w:r>
    </w:p>
    <w:p>
      <w:r>
        <w:rPr>
          <w:b/>
        </w:rPr>
        <w:t xml:space="preserve">Quelle: </w:t>
      </w:r>
      <w:r>
        <w:t>https://mcp.opencaselaw.ch/entscheid/ge_gerichte_ATAS_63_2023</w:t>
      </w:r>
    </w:p>
    <w:p>
      <w:r>
        <w:t>FR: GE_GERICHTE ATAS/63/2023 du 2 février 2023</w:t>
      </w:r>
    </w:p>
    <w:p>
      <w:r>
        <w:t>IT: GE_GERICHTE ATAS/63/2023 del 2 febbraio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Le 1er janvier 2021 est entrée en vigueur la modification du 21 juin 2019 de la LPGA. Toutefois, dans la mesure où le recours était, au 1er janvier 2021, pendant devant la chambre de céans, il reste soumis à l'ancien droit (cf. art. 82a LPGA).</w:t>
      </w:r>
    </w:p>
    <w:p>
      <w:r>
        <w:rPr>
          <w:b/>
        </w:rPr>
        <w:t>E. 4</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1er janvier 2022, de sorte que les dispositions légales applicables seront citées dans leur ancienne teneur.</w:t>
      </w:r>
    </w:p>
    <w:p>
      <w:r>
        <w:rPr>
          <w:b/>
        </w:rPr>
        <w:t>E. 5</w:t>
      </w:r>
    </w:p>
    <w:p>
      <w:r>
        <w:t>Le délai de recours est de trente jours (art. 56 LPGA ; art. 62 al. 1 de la loi sur la procédure administrative du 12 septembre 1985 [LPA - E 5 10]). Interjeté dans la forme et le délai prévus par la loi, le recours est recevable.</w:t>
      </w:r>
    </w:p>
    <w:p>
      <w:r>
        <w:t>A/3603/2020 - 12/24 -</w:t>
      </w:r>
    </w:p>
    <w:p>
      <w:r>
        <w:rPr>
          <w:b/>
        </w:rPr>
        <w:t>E. 6</w:t>
      </w:r>
    </w:p>
    <w:p>
      <w:r>
        <w:t>Le litige porte sur le bien-fondé de la décision de l’OAI du 7 octobre 2020, et notamment sur la fixation de la capacité de travail de l’assurée, à un taux de 50 %, depuis le mois de juillet 2016.</w:t>
      </w:r>
    </w:p>
    <w:p>
      <w:r>
        <w:rPr>
          <w:b/>
        </w:rPr>
        <w:t>E. 7</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l'assurée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l’assurée a droit à une rente entière s’il est invalide à 70 % au moins, à un trois quarts de rente s'il est invalide à 60 % au moins, à une demi-rente s’il est invalide à 50 % au moins, ou à un quart de rente s’il est invalide à 40 % au moins. Pour évaluer le taux d'invalidité, le revenu que l'assurée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8.1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l'assurée pourrait empêcher en faisant preuve de bonne volonté ; la mesure de ce qui est exigible doit être déterminée aussi objectivement que possible (ATF 127 V 294 consid. 4c ; ATF 102 V 165 consid. 3.1 ; VSI 2001 p. 223 consid. 2b ; arrêt du Tribunal fédéral des assurances I 786/04 du 19 janvier 2006 consid. 3.1). 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 ATF 141 V 281 consid. 2.1 et 2.1.1 ; ATF 130 V 396 consid. 5.3 et 6).</w:t>
      </w:r>
    </w:p>
    <w:p>
      <w:r>
        <w:rPr>
          <w:b/>
        </w:rPr>
        <w:t>E. 8.2</w:t>
      </w:r>
    </w:p>
    <w:p>
      <w:r>
        <w:t>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w:t>
      </w:r>
    </w:p>
    <w:p>
      <w:r>
        <w:t>A/3603/2020 - 13/24 -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Le Tribunal fédéral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 ATF 132 V 65 consid. 4.2.2 ; arrêt du Tribunal fédéral 9C_16/2016 du 14 juin 2016 consid. 3.2).</w:t>
      </w:r>
    </w:p>
    <w:p>
      <w:r>
        <w:rPr>
          <w:b/>
        </w:rPr>
        <w:t>E. 8.3</w:t>
      </w:r>
    </w:p>
    <w:p>
      <w:r>
        <w:t>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w:t>
      </w:r>
    </w:p>
    <w:p>
      <w:r>
        <w:rPr>
          <w:b/>
        </w:rPr>
        <w:t>E. 9</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w:t>
      </w:r>
    </w:p>
    <w:p>
      <w:r>
        <w:t>A/3603/2020 - 14/24 -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 consid. 4.3.2) C. Complexe « Contexte social » (consid. 4.3.3) - Catégorie « Cohérence » (aspects du comportement; consid. 4.4) Limitation uniforme du niveau d'activité dans tous les domaines comparables de la vie (consid. 4.4.1), poids des souffrances révélé par l'anamnèse établie en vue du traitement et de la réadaptation (consid. 4.4.2).</w:t>
      </w:r>
    </w:p>
    <w:p>
      <w:r>
        <w:t>Les indicateurs appartenant à la catégorie « degré de gravité fonctionnel » forment le socle de base pour l’évaluation des troubles psychiques (ATF 141 V 281 consid. 4.3 ; arrêt du Tribunal fédéral 9C_618/2019 du 16 mars 2020 consid. 8.2).</w:t>
      </w:r>
    </w:p>
    <w:p>
      <w:r>
        <w:rPr>
          <w:b/>
        </w:rPr>
        <w:t>E. 10</w:t>
      </w:r>
    </w:p>
    <w:p>
      <w:r>
        <w:t>Des traits de personnalité signifient que les symptômes constatés ne sont pas suffisants pour retenir l’existence d’un trouble spécifique de la personnalité. Ils n'ont, en principe, pas valeur de maladie psychiatrique et ne peuvent, en principe, fonder une incapacité de travail en droit des assurances au sens des art. 4 al. 1 LAI et 8 LPGA (arrêt du Tribunal fédéral 9C_369/2019 du 17 mars 2020 consid. 5.3 et les références).</w:t>
      </w:r>
    </w:p>
    <w:p>
      <w:r>
        <w:rPr>
          <w:b/>
        </w:rPr>
        <w:t>E. 11.1</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(cf. arrêt du Tribunal fédéral 8C_286/2020 du 6 août 2020 consid. 4 et la référence).</w:t>
      </w:r>
    </w:p>
    <w:p>
      <w:r>
        <w:t>A/3603/2020 - 15/24 -</w:t>
      </w:r>
    </w:p>
    <w:p>
      <w:r>
        <w:rPr>
          <w:b/>
        </w:rPr>
        <w:t>E. 11.2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Il faut en outre que le médecin dispose de la formation spécialisée nécessaire et de compétences professionnelles dans le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w:t>
      </w:r>
    </w:p>
    <w:p>
      <w:r>
        <w:rPr>
          <w:b/>
        </w:rPr>
        <w:t>E. 11.3</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 Le fait qu'une expertise psychiatrique n'a pas été établie selon les nouveaux standards - ou n'en suit pas exactement la structure - ne suffit cependant pas pour lui dénier d'emblée toute valeur probante. En pareille hypothèse,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Selon l'étendue de l'instruction déjà mise en œuvre, il peut s'avérer suffisant de requérir un complément d'instruction sur certains points précis (ATF 141 V 281 consid. 8 ; ATF 137 V 210 consid. 6 ; arrêts du</w:t>
      </w:r>
    </w:p>
    <w:p>
      <w:r>
        <w:t>A/3603/2020 - 16/24 - Tribunal fédéral 9C_808/2019 du 18 août 2020 consid. 5.2. et 9C_109/2018 du 15 juin 2018 consid. 5.1).</w:t>
      </w:r>
    </w:p>
    <w:p>
      <w:r>
        <w:rPr>
          <w:b/>
        </w:rPr>
        <w:t>E. 11.4</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143 V 269 consid. 6.2.3.2 et les références ; ATF 135 V 465 consid. 4.4. et les références ; ATF 125 V 351 consid. 3b/aa et les références).</w:t>
      </w:r>
    </w:p>
    <w:p>
      <w:r>
        <w:rPr>
          <w:b/>
        </w:rPr>
        <w:t>E. 11.5</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ATF 142 V 58 consid. 5.1 et les références ; ATF 139 V 225 consid. 5.2 et les références ; ATF 135 V 465 consid. 4.4 et les références). En effet, si la jurisprudence a reconnu la valeur probante des rapports médicaux des médecins- conseils, elle a souligné qu'ils n'avaient pas la même force probante qu'une expertise judiciaire ou une expertise mise en œuvre par un assureur social dans une procédure selon l'art. 44 LPGA (ATF 135 V 465 consid. 4.4 et les références).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w:t>
      </w:r>
    </w:p>
    <w:p>
      <w:r>
        <w:t>A/3603/2020 - 17/24 -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ATF 135 V 465 consid. 4).</w:t>
      </w:r>
    </w:p>
    <w:p>
      <w:r>
        <w:rPr>
          <w:b/>
        </w:rPr>
        <w:t>E. 11.6</w:t>
      </w:r>
    </w:p>
    <w:p>
      <w:r>
        <w:t>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w:t>
      </w:r>
    </w:p>
    <w:p>
      <w:r>
        <w:rPr>
          <w:b/>
        </w:rPr>
        <w:t>E. 11.7</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du règlement sur l’assurance-invalidité du 17 janvier 1961 [RAI - RS 831.201]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w:t>
      </w:r>
    </w:p>
    <w:p>
      <w:r>
        <w:rPr>
          <w:b/>
        </w:rPr>
        <w:t>E. 11.8</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w:t>
      </w:r>
    </w:p>
    <w:p>
      <w:r>
        <w:t>A/3603/2020 - 18/24 - violation du principe mentionné (arrêt du Tribunal fédéral 9C_973/2011 du 4 mai 2012 consid. 3.2.1).</w:t>
      </w:r>
    </w:p>
    <w:p>
      <w:r>
        <w:rPr>
          <w:b/>
        </w:rPr>
        <w:t>E. 11.9</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11.10</w:t>
      </w:r>
    </w:p>
    <w:p>
      <w:r>
        <w:t>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w:t>
      </w:r>
    </w:p>
    <w:p>
      <w:r>
        <w:t>A/3603/2020 - 19/24 -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 ATF 9C_833/2007 du 4 juillet 2008, in Plädoyer 2009/1 p. 70 ; arrêt du Tribunal fédéral des assurances I 35/03 du 24 octobre 2003 consid. 4.3 et les références, in Plädoyer 2004/3 p. 64 ; arrêt du Tribunal fédéral 9C_512/2013 du 16 janvier 2014 consid. 5.2.1).</w:t>
      </w:r>
    </w:p>
    <w:p>
      <w:r>
        <w:rPr>
          <w:b/>
        </w:rPr>
        <w:t>E. 12</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13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w:t>
      </w:r>
    </w:p>
    <w:p>
      <w:r>
        <w:t>A/3603/2020 - 20/24 - assurances sociales, un principe selon lequel l’administration ou le juge devrait statuer, dans le doute, en faveur de l’assuré (ATF 126 V 319 consid. 5a).</w:t>
      </w:r>
    </w:p>
    <w:p>
      <w:r>
        <w:rPr>
          <w:b/>
        </w:rPr>
        <w:t>E. 14</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ATF 140 I 285 consid. 6.3.1 et les références). Une telle manière de procéder ne viole pas le droit d’être entendu selon l’art. 29 al. 2 de la Constitution fédérale de la Confédération suisse du 18 avril 1999 (Cst. - RS 101 ; SVR 2001 IV n. 10 p. 28 consid. 4b), la jurisprudence rendue sous l’empire de l’art. 4 aCst. étant toujours valable (ATF 124 V 90 consid. 4b ; ATF 122 V 157 consid. 1d).</w:t>
      </w:r>
    </w:p>
    <w:p>
      <w:r>
        <w:rPr>
          <w:b/>
        </w:rPr>
        <w:t>E. 15</w:t>
      </w:r>
    </w:p>
    <w:p>
      <w:r>
        <w:t>En l’espèce, l’OAI s’est fondé, pour prendre la décision querellée, sur l’appréciation médicale de son SMR selon lequel la capacité de travail de la recourante, dans une activité adaptée, est de 50 % depuis juillet 2016. Dans le cadre de la comparaison des revenus avec et sans invalidité, l’intimé a pris en compte un taux d’abattement de 10 % au motif que, hormis le taux d’activité et les années de service, il n’y avait pas d’autres éléments déterminants dans ce contexte qui justifiaient une réduction supplémentaire du taux retenu. De son côté, la recourante considère que la décision querellée ne tient pas suffisamment compte des limitations psychiques de cette dernière, et notamment des constatations faites sur les limitations de la recourante, lors du stage aux EPI. De surcroît, elle reproche à l’intimé de n’avoir pas tenu compte de la baisse de rendement dans le calcul du salaire avec invalidité et de n’avoir retenu qu’un abattement de 10 % alors qu’il aurait dû tenir compte d’un taux d’abattement plus élevé.</w:t>
      </w:r>
    </w:p>
    <w:p>
      <w:r>
        <w:rPr>
          <w:b/>
        </w:rPr>
        <w:t>E. 15.1</w:t>
      </w:r>
    </w:p>
    <w:p>
      <w:r>
        <w:t>Les rapports d’expertise rhumatologique et psychiatrique correspondent en tous points aux exigences en la matière. Ils ont été établis en parfaite connaissance du dossier médical, dont la lecture a été complétée par un entretien d’une durée de deux heures avec l’expert rhumatologue et d’une durée d’une heure trente avec l’expert psychiatre, ce dernier ayant complété les informations recueillies par un entretien téléphonique de trente minutes avec la psychiatre traitante de la recourante. Les rapports contiennent, en outre, une anamnèse personnelle, familiale et professionnelle très fouillée, et les experts ont tenu compte des plaintes de la recourante et ont rapporté leurs observations de manière détaillée à la suite d’un entretien approfondi. Les diagnostics retenus sont soigneusement motivés et la capacité de gain de la recourante a été correctement analysée à la lumière des indicateurs développés par la jurisprudence. L’expert rhumatologue a exposé de manière détaillée et convaincante les raisons pour lesquelles il s’écartait de l’avis de l’expert C______ du 8 avril 2016 ainsi que les raisons pour lesquelles il était d’accord avec les appréciations médicales des Drs L______ et I______. L’expert</w:t>
      </w:r>
    </w:p>
    <w:p>
      <w:r>
        <w:t>A/3603/2020 - 21/24 - psychiatre a également expliqué de manière convaincante pour quelles raisons il s’écartait du taux d’incapacité de travail retenu par la Dresse H______. Les conclusions sont elles aussi claires et motivées, de même que l’appréciation consensuelle opérée par les deux experts. Compte tenu de ce qui précède, la chambre de céans considère que les rapports d’expertise présentent une pleine valeur probante et que les conclusions des experts, selon lesquelles la recourante dispose depuis octobre 2015 d’une capacité de travail de 50 % dans une activité adaptée à ses limitations fonctionnelles - étant précisé que ce taux inclut la baisse de rendement - doivent être retenues.</w:t>
      </w:r>
    </w:p>
    <w:p>
      <w:r>
        <w:rPr>
          <w:b/>
        </w:rPr>
        <w:t>E. 15.2</w:t>
      </w:r>
    </w:p>
    <w:p>
      <w:r>
        <w:t>S’agissant des obstacles psychosociaux décrits par les experts, ils ne peuvent être reconnus comme des facteurs d'atteinte à la santé à caractère invalidant (ATF 127 V 294 consid. 5a in fine).</w:t>
      </w:r>
    </w:p>
    <w:p>
      <w:r>
        <w:rPr>
          <w:b/>
        </w:rPr>
        <w:t>E. 15.3</w:t>
      </w:r>
    </w:p>
    <w:p>
      <w:r>
        <w:t>En ce qui concerne les allégations de la recourante concernant la prise en compte des observations professionnelles faites lors du stage aux EPI, elles ne sauraient primer sur les conclusions des experts médicaux, étant rappelé que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w:t>
      </w:r>
    </w:p>
    <w:p>
      <w:r>
        <w:rPr>
          <w:b/>
        </w:rPr>
        <w:t>E. 15.4</w:t>
      </w:r>
    </w:p>
    <w:p>
      <w:r>
        <w:t>Dès lors que la demande de prestations a été déposée en juillet 2016, la rente ne peut être versée qu’à compter du mois de janvier 2017, en application de l’article 29 al. 1 LAI (demande tardive).</w:t>
      </w:r>
    </w:p>
    <w:p>
      <w:r>
        <w:rPr>
          <w:b/>
        </w:rPr>
        <w:t>E. 15.5</w:t>
      </w:r>
    </w:p>
    <w:p>
      <w:r>
        <w:t>S’agissant du taux d’abattement de 10 % contesté par la recourante, cette dernière allègue que seules des activités légères restent possible et que les limitations fonctionnelles sont nombreuses, tant sur le plan somatique que psychique. Or, les limitations fonctionnelles somatiques ont été clairement décrites par l’expert rhumatologue soit, éviter le port de charges de plus de 5 kg, éviter la position penchée en avant en arrière, et les rotations du tronc. Éviter la position assise, prolongé de plus d’une heure, la position statique debout, la position debout pour plus d’une heure de suite. Selon l’expert, toutes les activités qui respectent ces limitations fonctionnelles sont possibles, mais le taux initial ne devrait pas dépasser 60 %. Quant aux limitations fonctionnelles psychiques, soit les troubles de la concentration et les affects négatifs, ils n’impactent que faiblement les activités de la recourante, selon l’expert psychiatre. Compte tenu des appréciations des experts, la recourante ne démontre pas, au degré de la vraisemblance prépondérante, qu’il existe d’autres éléments objectifs qui seraient de nature à augmenter le taux d’abattement de 10 % retenu par l’intimé.</w:t>
      </w:r>
    </w:p>
    <w:p>
      <w:r>
        <w:rPr>
          <w:b/>
        </w:rPr>
        <w:t>E. 15.6</w:t>
      </w:r>
    </w:p>
    <w:p>
      <w:r>
        <w:t>Ni le taux d’activité, ni les montants retenus au niveau de la comparaison des revenus avec et sans invalidité n’ont fait l’objet de critiques de la part de la recourante ; ils sont par ailleurs établis sur la base du dossier de l’intimé.</w:t>
      </w:r>
    </w:p>
    <w:p>
      <w:r>
        <w:t>A/3603/2020 - 22/24 - On rappellera que l’intimé s’est fondé sur les ESS 2014, tableau TA1 réévalué après indexation selon l’indice suisse nominal des salaires (ISS), pour aboutir à un salaire annuel indexé de CHF 54'517.-. Le temps de travail raisonnablement exigible retenu de 50 % correspond à l’appréciation des experts et, après réduction supplémentaire de 10 % (abattement), conduit à un salaire annuel brut avec invalidité de CHF 24'533.-. Comparé au revenu annuel brut avant l’invalidité, soit en 2015, de CHF 52'500.-, réévalué à CHF 52'950.- (2016), après indexation selon l’ISS, on aboutit à une perte de gain de CHF 28'417.- qui correspond à un taux d’invalidité de 53.67 arrondi à 54 % (28'417 x 100 / par 52'950). À toutes fins utiles, il convient de constater, une fois le calcul effectué, que les contestations de la recourante concernant le taux d’abattement n’ont pas d’impact sur la fixation de la rente ; en effet, même si l’on appliquait un taux d’abattement de</w:t>
      </w:r>
    </w:p>
    <w:p>
      <w:r>
        <w:rPr>
          <w:b/>
        </w:rPr>
        <w:t>E. 20</w:t>
      </w:r>
    </w:p>
    <w:p>
      <w:r>
        <w:t>% - injustifié dans le cas présent - on ne parviendrait qu’à un taux d’invalidité de 58.8 % arrondi à 59 % ; or, ce taux est inférieur à 60 % et ne permet pas d’obtenir plus qu’une demi-rente. 16. Compte tenu de ce qui précède, la décision querellée ne prête pas le flanc à la critique et la chambre de céans n’a d’autre choix que de rejeter le recours. 17. Reste à examiner la question des coûts de l'expertise qui peuvent être mis à la charge de l'assureur social (ATF 137 V 210 consid. 4.4.2). Conformément à la jurisprudence constante du Tribunal fédéral, l’art. 45 al. 1 LPGA constitue une base légale suffisante pour mettre les coûts d’une expertise judiciaire à la charge de l’assureur (ATF 143 V 269 consid. 6.2.1 et les références), lorsque les résultats de l'instruction mise en œuvre dans la procédure administrative n'ont pas une valeur probatoire suffisante pour trancher des points juridiquement essentiels et qu'en soi un renvoi est envisageable en vue d'administrer les preuves considérées comme indispensables, mais qu'un tel renvoi apparaît peu opportun au regard du principe de l'égalité des armes (ATF 139 V 225 consid. 4.3). Cette règle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Tel est notamment le cas lorsque l'autorité administrative a laissé subsister, sans la lever par des explications objectivement fondées, une contradiction manifeste entre les différents points de vue médicaux rapportés au dossier, lorsqu’elle aura laissé ouverte une ou plusieurs questions nécessaires à l'appréciation de la situation médicale ou lorsqu'elle a pris en considération une expertise qui ne remplissait manifestement pas les exigences jurisprudentielles relatives à la valeur probante de</w:t>
      </w:r>
    </w:p>
    <w:p>
      <w:r>
        <w:t>A/3603/2020 - 23/24 - ce genre de documents.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consid. 4.4 et les références ; arrêt du Tribunal fédéral 8C_580/2019 du 6 avril 2020 consid. 5.1). En l'espèce, au vu du résultat des expertises judiciaires, rien ne permet de considérer que l'autorité administrative a diligenté une instruction présentant des lacunes ou des insuffisances caractérisées. Dès lors, les frais des expertises judiciaires seront laissés à la charge de l’État. 18. Pour le surplus, la recourante, qui succombe, sera condamnée au paiement d'un émolument de CHF 200.- (art. 69 al. 1bis LAI).</w:t>
      </w:r>
    </w:p>
    <w:p>
      <w:r>
        <w:t>A/3603/2020 - 24/24 -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