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ATAS/63/2020 vom 29. Januar 2020</w:t>
      </w:r>
    </w:p>
    <w:p>
      <w:r>
        <w:t>GE Cour de justice, 2020-01-29, FR</w:t>
      </w:r>
    </w:p>
    <w:p>
      <w:r>
        <w:rPr>
          <w:b/>
        </w:rPr>
        <w:t xml:space="preserve">Quelle: </w:t>
      </w:r>
      <w:r>
        <w:t>https://mcp.opencaselaw.ch/entscheid/ge_gerichte_ATAS_63_2020</w:t>
      </w:r>
    </w:p>
    <w:p>
      <w:r>
        <w:t>FR: GE_GERICHTE ATAS/63/2020 du 29 janvier 2020</w:t>
      </w:r>
    </w:p>
    <w:p>
      <w:r>
        <w:t>IT: GE_GERICHTE ATAS/63/2020 del 29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A/2514/2019 - 5/9 -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L'objet du litige, déterminé par la décision du 18 juin 2019, porte uniquement sur le point de savoir si l'intimé était en droit de refuser d'entrer en matière sur la nouvelle demande de prestations déposée par la recourante le 22 mars 2019.</w:t>
      </w:r>
    </w:p>
    <w:p>
      <w:r>
        <w:rPr>
          <w:b/>
        </w:rPr>
        <w:t>E. 4</w:t>
      </w:r>
    </w:p>
    <w:p>
      <w:r>
        <w:t>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w:t>
      </w:r>
    </w:p>
    <w:p>
      <w:r>
        <w:t>A/2514/2019 - 6/9 - 9C_789/2012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Il ne sera donc pas tenu compte des rapports produits postérieurement à la décision litigieuse (arrêt du Tribunal fédéral 9C_789/2012 du 27 juillet 2013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w:t>
      </w:r>
    </w:p>
    <w:p>
      <w:r>
        <w:t>A/2514/2019 - 7/9 - plus poussée ne permettra pas de l'établir (Damien VALLAT, La nouvelle demande de prestations AI et les autres voies permettant la modification de décisions en force, RSAS, 2003, p. 396 ch. 5.1 ; arrêt du Tribunal fédéral des assurances I 724/99 du 5 octobre 2001 consid. 1c/aa). 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w:t>
      </w:r>
    </w:p>
    <w:p>
      <w:r>
        <w:rPr>
          <w:b/>
        </w:rPr>
        <w:t>E. 5</w:t>
      </w:r>
    </w:p>
    <w:p>
      <w:r>
        <w:t>Il ressort de ce qui précède que la question qui se pose en l’occurrence est uniquement celle de savoir si la recourante, au moment de la décision litigieuse - soit le 18 juin 2019 - avait rendu plausible une aggravation de son état de santé survenue depuis le 25 septembre 2018, date de la première décision désormais entrée en force. Tel n’est pas le cas. Tandis que l'intimé l'a invitée à fournir tous les documents médicaux permettant de rendre plausible l'aggravation de son état de santé depuis le 25 septembre 2018, en lui impartissant un délai à cette fin, la recourante n'a pas réagi au pli du 26 mars 2019. En outre, dans son courrier du 23 mai 2019 faisant part de ses observations quant au projet de décision de l'intimé du 9 mai 2019, la recourante n'a pas davantage remis de pièces attestant de l'aggravation de son état de santé alléguée. Certes, elle en a décrit les conditions, sans toutefois remettre aucun document médical les attestant. Par conséquent, force est de constater que la recourante n’a pas rendu plausible une aggravation de son état de santé de sorte que c’est à juste titre que l’intimé a refusé d’entrer en matière sur la nouvelle demande du 22 mars 2019. Au regard des principes susrappelés, les pièces médicales produites après la décision litigieuse, soit après le 18 juin 2019, ne sauraient être prises en compte pour procéder à l’évaluation de la situation. Cela étant dit, conformément à la jurisprudence de la chambre de céans, le certificat médical du Dr D______ du 24 juin 2019 produit dans le cadre de la procédure de recours doit être qualifié de nouvelle demande, qu'il appartiendra à l'intimé d'examiner dans les meilleurs délais (cf. ATAS/864/2019 du 25 septembre 2019 consid. 7e et les références citées). Dans ce cadre, il reviendra à la recourante de fournir toutes les pièces éventuellement requises par l'intimé afin d'établir sa situation. À cet égard, il est rappelé qu’il lui est possible de se faire représenter si elle ne se sent pas capable de faire valoir utilement ses droits pour des raisons de santé ou d'ignorance juridique (cf. arrêt du Tribunal fédéral 9C_660/2012 du 29 janvier 2013 consid. 3.3).</w:t>
      </w:r>
    </w:p>
    <w:p>
      <w:r>
        <w:rPr>
          <w:b/>
        </w:rPr>
        <w:t>E. 6</w:t>
      </w:r>
    </w:p>
    <w:p>
      <w:r>
        <w:t>Au vu de ce qui précède, le recours est rejeté.</w:t>
      </w:r>
    </w:p>
    <w:p>
      <w:r>
        <w:t>A/2514/2019 - 8/9 -</w:t>
      </w:r>
    </w:p>
    <w:p>
      <w:r>
        <w:rPr>
          <w:b/>
        </w:rPr>
        <w:t>E. 7</w:t>
      </w:r>
    </w:p>
    <w:p>
      <w:r>
        <w:t>La procédure de recours en matière de contestation portant sur l'octroi ou le refus de prestations de l'assurance-invalidité étant soumise à des frais de justice, la recourante sera condamnée au paiement d'un émolument, arrêté au montant minimal de CHF 200.- (art. 69 al. 1 bis LAI).</w:t>
      </w:r>
    </w:p>
    <w:p>
      <w:r>
        <w:t>A/2514/2019 - 9/9 -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