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ATAS/63/2013 vom 24. Januar 2013</w:t>
      </w:r>
    </w:p>
    <w:p>
      <w:r>
        <w:t>GE Cour de justice, 2013-01-24, FR</w:t>
      </w:r>
    </w:p>
    <w:p>
      <w:r>
        <w:rPr>
          <w:b/>
        </w:rPr>
        <w:t xml:space="preserve">Quelle: </w:t>
      </w:r>
      <w:r>
        <w:t>https://mcp.opencaselaw.ch/entscheid/ge_gerichte_ATAS_63_2013</w:t>
      </w:r>
    </w:p>
    <w:p>
      <w:r>
        <w:t>FR: GE_GERICHTE ATAS/63/2013 du 24 janvier 2013</w:t>
      </w:r>
    </w:p>
    <w:p>
      <w:r>
        <w:t>IT: GE_GERICHTE ATAS/63/2013 del 24 gennaio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à 60 LPGA).</w:t>
      </w:r>
    </w:p>
    <w:p>
      <w:r>
        <w:rPr>
          <w:b/>
        </w:rPr>
        <w:t>E. 4</w:t>
      </w:r>
    </w:p>
    <w:p>
      <w:r>
        <w:t>Le litige porte sur le droit de la recourante à l’indemnité de chômage à compter du 1er mars 2010, singulièrement sur la date à laquelle elle a rompu tout lien avec sa société.</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w:t>
      </w:r>
    </w:p>
    <w:p>
      <w:r>
        <w:t>A/476/2011 - 9/12 -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Ainsi,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bulletin MT/AC 2003/4 fiche 4/1).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w:t>
      </w:r>
    </w:p>
    <w:p>
      <w:r>
        <w:t>A/476/2011 - 10/12 -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 consid. 2).</w:t>
      </w:r>
    </w:p>
    <w:p>
      <w:r>
        <w:rPr>
          <w:b/>
        </w:rPr>
        <w:t>E. 6</w:t>
      </w:r>
    </w:p>
    <w:p>
      <w:r>
        <w:t>a) En l’espèce, il ressort de l’extrait du RC que la recourante a été gérante puis associée gérante de la pizzeria de septembre 2009 à mai 2010. Partant, pendant cette période, la recourante était d’emblée exclue du cercle des ayants-droit à l’indemnité de chômage, conformément à l’art. 31 al. 3 let. c LACI applicable par analogie et à la jurisprudence y relative. Reste à déterminer ce qu’il en est de la période de mai à octobre 2010, durant laquelle la recourante est restée associée à hauteur de 19 parts de 1'000 fr. (correspondant à 95% du capital-actions). Il y a lieu d’examiner si cette participation financière était telle qu’elle permettait à la recourante de fixer les décisions de l’employeur ou, du moins, de les influencer considérablement. b) Selon l’art. 810 al. 2 ch. 1 du Code des obligations (CO ; RS 220), dans sa teneur en vigueur depuis le 1er janvier 2008, les gérants exercent la haute direction de la société. Ils sont notamment nommés et le cas échéant révoqués par l’assemblée des associés (art. 804 al. 1 et 2 ch. 2 CO, dans sa teneur en vigueur depuis le 1er janvier 2008). En l’espèce, l’assemblée des associés de la société exploitant la pizzeria était composée de la recourante (95% des parts sociales) et de son associé (5%). On doit conclure de l’importance de la participation de la recourante que celle-ci pouvait à l’évidence influencer les décisions prises par l’assemblée des associés, notamment en ce qui concernait la nomination - cas échéant, la révocation - des gérants. Compte tenu de ces pouvoirs, la recourante pouvait, à tout moment, réintégrer la pizzeria en tant qu’employée, de sorte qu’elle occupait, formellement, une position assimilable à celle d’un employeur, même si, dans les faits, elle n’en a pas fait usage. c) Reste à examiner à partir de quand la recourante a cédé sa participation et définitivement quitté la société. Dans le cas d’un membre du conseil d’administration d’une société anonyme, il a été considéré qu’était déterminant le moment de la démission effective, non pas la date de la radiation de l’inscription au registre du commerce ou celle de la publication dans la Feuille officielle suisse du commerce, celles-ci pouvant prendre</w:t>
      </w:r>
    </w:p>
    <w:p>
      <w:r>
        <w:t>A/476/2011 - 11/12 - du retard pour quelque motif que ce soit (ATF non publié C 358/01 consid. 4.2, voir également RUBIN, Assurance-chômage, 2006, p. 129). En matière de société à responsabilité limitée, l’art. 785 CO, dans sa teneur en vigueur dès le 1er janvier 2008, stipule que la cession de parts sociales et l’obligation de céder des parts sociales doivent revêtir la forme écrite (al. 1). Le contrat de cession doit contenir les mêmes renvois aux droits et obligations statutaires que l’acte de souscription des parts sociales (al. 2). Sauf dérogation, la cession de parts sociales requiert l’approbation de l’assemblée des associés (art. 786 al. 1 CO) et ne déploie ses effets, dans ce cas, qu’une fois ladite approbation donnée (art. 787 al. 1 CO). En l’espèce, il ressort des pièces au dossier que s’est tenue le 3 août 2009 une assemblée générale extraordinaire des associés, lors de laquelle la cession des parts sociales a été approuvée à l’unanimité. Par conséquent, conformément aux art. 786 al. 1 et. 787 al. 1 CO, ce n’est qu’à compter de 3 août 2010 que la cession des parts sociales a déployé ses effets. Ce transfert des parts sociales a ensuite été porté à la connaissance du registre du commerce par courrier du 9 août 2010 et l’inscription définitive a été effectuée avec effet au 1er octobre 2010. Partant, il ne fait aucun doute que la recourante n’a plus bénéficié d’une position assimilable à celle d’un employeur à partir du 3 août 2010 et ce même si l’inscription au registre du commerce n’a en réalité été effectuée que plus tard. La date du 28 février 2010 ne peut être retenue pour le transfert des parts, pour les motifs suivants. Le contrat de cession du 28 février 2010 ne prouve tout d’abord pas, au degré de la vraisemblance prépondérante, que la recourante a cédé, à cette date, ses parts sociales aux repreneurs. En effet, ledit contrat indique uniquement que les parts ont été cédées à son associé, qui, pour sa part, conteste les avoir acquises. Ledit contrat ne contient en outre aucun des renvois nécessaires selon l’art. 785 al. 2 CO, de sorte qu’il est nul. De plus, aucune assemblée des associés n’a approuvé un quelconque transfert à cette date. Enfin, la recourante a elle-même admis, dans son recours du 18 février 2011, avoir transféré ses parts le 3 août 2010. Par conséquent, ce n’est qu’à compter du 3 août 2010 - date à laquelle le transfert des parts sociales a effectivement déployé ses effets - qu’on peut admettre que la recourante a définitivement quitté la société et donc perdu sa position dominante. Le recours est partiellement admis en ce sens, les décisions des 29 octobre 2010 et 19 janvier 2011 sont annulées et la cause est renvoyée à l’intimée pour détermination des indemnités de chômage dues à compter de la date mentionnée. La recourante, qui obtient gain de cause, a droit à des dépens, lesquels sont fixés, en l’espèce, à 2'000 fr. (art. 89H al. 3 LPA). Pour le surplus, la procédure est gratuite.</w:t>
      </w:r>
    </w:p>
    <w:p>
      <w:r>
        <w:t>A/476/2011 - 12/12 -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