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ATAS/63/2009 vom 15. Januar 2009</w:t>
      </w:r>
    </w:p>
    <w:p>
      <w:r>
        <w:t>GE Cour de justice, 2009-01-15, FR</w:t>
      </w:r>
    </w:p>
    <w:p>
      <w:r>
        <w:rPr>
          <w:b/>
        </w:rPr>
        <w:t xml:space="preserve">Quelle: </w:t>
      </w:r>
      <w:r>
        <w:t>https://mcp.opencaselaw.ch/entscheid/ge_gerichte_ATAS_63_2009</w:t>
      </w:r>
    </w:p>
    <w:p>
      <w:r>
        <w:t>FR: GE_GERICHTE ATAS/63/2009 du 15 janvier 2009</w:t>
      </w:r>
    </w:p>
    <w:p>
      <w:r>
        <w:t>IT: GE_GERICHTE ATAS/63/2009 del 15 gennaio 2009</w:t>
      </w:r>
    </w:p>
    <w:p>
      <w:pPr>
        <w:pStyle w:val="Heading2"/>
      </w:pPr>
      <w:r>
        <w:t>Erwägungen</w:t>
      </w:r>
    </w:p>
    <w:p>
      <w:r>
        <w:rPr>
          <w:b/>
        </w:rPr>
        <w:t>E. 1</w:t>
      </w:r>
    </w:p>
    <w:p>
      <w:r>
        <w:t>L’objet du recours ressortit à la loi fédérale sur l'assurance-invalidité du 19 juin 1959 (LAI), si bien que le Tribunal de céans est matériellement compétent pour statuer en l’espèce (art. 56 V al. 1 let. a ch. 2 de la loi genevoise sur l'organisation judiciaire).</w:t>
      </w:r>
    </w:p>
    <w:p>
      <w:r>
        <w:rPr>
          <w:b/>
        </w:rPr>
        <w:t>E. 2</w:t>
      </w:r>
    </w:p>
    <w:p>
      <w:r>
        <w:t>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(LPGA), entrée en vigueur le 1er janvier 2003.</w:t>
      </w:r>
    </w:p>
    <w:p>
      <w:r>
        <w:rPr>
          <w:b/>
        </w:rPr>
        <w:t>E. 3</w:t>
      </w:r>
    </w:p>
    <w:p>
      <w:r>
        <w:t>Le litige concerne le droit éventuel de la recourante à des mesures d'ordre professionnel, respectivement à une rente d'invalidité, et porte sur le point de savoir si celle-ci présente une incapacité de travail et de gain fondant le droit à ces prestations.</w:t>
      </w:r>
    </w:p>
    <w:p>
      <w:r>
        <w:rPr>
          <w:b/>
        </w:rPr>
        <w:t>E. 4</w:t>
      </w:r>
    </w:p>
    <w:p>
      <w:r>
        <w:t>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1er janvier 2008, entraînant de nombreuses modifications légales dans l'assurance-invalidité. Cela étant, ni la LPGA, ni la 4ème ou 5ème révision de l'AI n'ont modifié la notion d'invalidité, la manière d'évaluer le taux d'invalidité ni les conditions permettant de fixer le début du droit à la rente ou de modifier ce droit (ATF 130 V 343).</w:t>
      </w:r>
    </w:p>
    <w:p>
      <w:r>
        <w:rPr>
          <w:b/>
        </w:rPr>
        <w:t>E. 5</w:t>
      </w:r>
    </w:p>
    <w:p>
      <w:r>
        <w:t>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A/1556/2008 - 17/21 - 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consid. 4.1). L’autorité administrative doit constater d’office les faits déterminants, c’est-à- dire toutes les circonstances dont dépend l’application des règles de droit</w:t>
      </w:r>
    </w:p>
    <w:p>
      <w:r>
        <w:t>A/1556/2008 - 18/21 -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w:t>
      </w:r>
    </w:p>
    <w:p>
      <w:r>
        <w:rPr>
          <w:b/>
        </w:rPr>
        <w:t>E. 6</w:t>
      </w:r>
    </w:p>
    <w:p>
      <w:r>
        <w:t>A l’appui de la décision litigieuse, l’OCAI s’est fondé sur le rapport d’examen clinique rhumatologique et psychiatrique du 9 mai/18 décembre 2006, selon lequel la capacité de travail exigible dans l’activité professionnelle habituelle était de 20% depuis décembre 2000 ; en revanche, dans un emploi adapté aux limitations fonctionnelles de l’assurée, la capacité de travail était de 100%.</w:t>
      </w:r>
    </w:p>
    <w:p>
      <w:r>
        <w:rPr>
          <w:b/>
        </w:rPr>
        <w:t>E. 6.1</w:t>
      </w:r>
    </w:p>
    <w:p>
      <w:r>
        <w:t>Dans le cas particulier, on doit constater que ce rapport ne répond pas entièrement aux critères propres à lui conférer pleine valeur probante (cf. supra, § 5). D’une part, il apparaît que ce rapport n’a pas pris en compte les deux rapports d’IRM dorso-lombaire et cervicale des 24 mai et 6 juin 2006 (révélant en particulier un canal rachidien cervical rétréci aggravé par des discopathies étagées C3-C4, C4-C5, C5-C6 et C6-C7), si bien que l’on ne saurait considérer sans autre qu’il se fonde sur une analyse complète de la situation médicale. Par ailleurs, ses auteurs n’ont pas motivé de manière convaincante les raisons pour lesquelles ils se sont écartés de l’estimation de la capacité de travail dans une activité adaptée (60%) exprimée par le Dr O__________ dans son expertise du 18 décembre 2003. A cet égard, ceux-ci se sont en effet apparemment limités à déduire de la discordance entre les plaintes de la patiente et les observations objectives que celle-ci était capable de travailler à 100% dans une activité adaptée. Pareille motivation n’est toutefois pas suffisante à elle seule, ce d’autant que les médecins du SMR ne mentionnent pas les éléments leur permettant de conclure que l'assurée arriverait à assumer un plein rendement pour un tel taux d’activité (comp. ATF du 11 juillet 2005, I 314/04, consid. 3.2). Certes, ils ont exposé que leur examen bidisciplinaire avait mis en évidence un syndrome de majoration des symptômes que le Dr O__________ n’avait pas retenu à l’époque, « soit par omission, soit parce qu’il n’existait pas encore à ce moment, ce que l’on peut suspecter, la mobilité du rachis lombaire et de l’épaule droite étant meilleure à l’époque. Cependant, la personnalité histrionique était certainement déjà présente et avait pu conduire à une surévaluation de l’incapacité de travail dans une activité adaptée ». Force est toutefois de constater que cette dernière appréciation apparaît quelque peu</w:t>
      </w:r>
    </w:p>
    <w:p>
      <w:r>
        <w:t>A/1556/2008 - 19/21 - contradictoire et repose au demeurant sur de simples suppositions ou hypothèses, nullement étayées. A cela s’ajoute que le diagnostic de majoration des symptômes pour des raisons psychologiques, posé par le SMR, n’est pas confirmé par les autres médecins intervenus, lesquels ont retenu des douleurs chroniques d’origine myofasciale (Drs O__________ et P__________), une fibromyalgie (Drs S_________ et Q__________), ou un trouble somatoforme indifférencié avec probable trouble de conversion (Dr R_______) ou encore un syndrome douloureux d’origine multiple (professeur A_______ et Dr B_______). On notera également un élément d’anamnèse contradictoire, - non discuté pas les auteurs -, dans la mesure où, dans leur rapport d’examen bidisciplinaire, les médecins du SMR affirment que l’assurée ne présentait pas un retrait social, alors que, selon le psychiatre traitant, la patiente se retranchait chez elle et ne sortait pour ainsi dire plus, passant la majeure partie de son temps couchée. Quant au Dr O__________, il a motivé de manière insuffisante son avis, selon lequel l’expertisée n’était pas en mesure d’exercer à plus de 60% une activité de remplacement même strictement adaptée à ses limitations, se bornant à affirmer à cet égard qu’il existait « une diminution de rendement qui découle de ses limitations fonctionnelles et qui était déjà intégrée dans l’estimation de la capacité de travail », (expertise, p. 10). Au surplus, l’estimation du Dr O__________ se fonde, en partie du moins, sur les indications subjectives de l’expertisée, qui s’est « montrée algique lors des transferts » (expertise, p. 6), si bien qu’elle ne saurait emporter sans autre la conviction (cf. VSI 2002/2, p. 67), même si, de l’avis de l’expert, les doléances de l’expertisée étaient tout à fait concordantes aux constatations objectives de l’examen clinique ainsi que du bilan radiologique et IRM tant du rachis que de l’épaule droite (ces derniers éléments visant d’ailleurs principalement à écarter l’existence concomitante d’un trouble somatoforme douloureux en l’occurrence). Au demeurant, il semble que le taux d’activité de 60% doive être relativisé dans la mesure où, en relation avec l’octroi éventuel de mesures de réadaptation, l’expert a lui-même préconisé une évaluation préalable dans le cadre d’un stage dans un COPAI, afin « d’étayer la tolérance à l’effort de l’assurée » (expertise, p. 10). Enfin, si l’expert (rhumatologue) n’a pas retenu la présence d’une fibromyalgie, ni mis en évidence l’existence concomitante d’un trouble somatoforme douloureux, cette analyse n’est pas partagée par les autres spécialistes consultés en l’espèce, dont les Drs S_________ et Q__________ (neurologue, respectivement rhumatologue) et R_______ (psychiatre), qui ont retenu, à l’issue d’examens approfondis, l’existence de telles atteintes, indépendamment des discopathies diagnostiquées par le Dr O__________. A cela s’ajoute que, selon les Drs O__________ et P__________, le bilan de l’hospitalisation (du 8 au 26 août 2005) avait mis en évidence des douleurs chroniques d’origine myofasciale sur</w:t>
      </w:r>
    </w:p>
    <w:p>
      <w:r>
        <w:t>A/1556/2008 - 20/21 - substrat somatique modéré à faible, diagnostic que l’expert n’a pas même évoqué.</w:t>
      </w:r>
    </w:p>
    <w:p>
      <w:r>
        <w:rPr>
          <w:b/>
        </w:rPr>
        <w:t>E. 6.2</w:t>
      </w:r>
    </w:p>
    <w:p>
      <w:r>
        <w:t>Par ailleurs, le dossier ne contient pas d’autre avis médical suffisamment étayé et convaincant pour apprécier dans quelle mesure, dans quelles activités et à partir de quelle date la reprise d’une activité professionnelle est exigible de la part de la recourante, au vu des atteintes à la santé qu'elle présente. En particulier, dans son rapport du 5 juillet 2006, le Dr Q__________, rhumatologue traitant, a estimé la capacité de travail dans une activité adaptée à un taux variant entre 60% et 80%, tout en relevant que les difficultés psychosociales de l’assurée jouaient un rôle majeur dans l’invalidité de cette patiente. Or, de telles difficultés ne sauraient être prises en considération sous l’angle de l’invalidité, conformément à la jurisprudence (ATF 127 V 294 consid. 5a p. 299 s.). De même, l’avis complémentaire du SMR du 19 juin 2008 (selon lequel l’évolution de l’état de santé de l’assurée avait été objectivement favorable entre l’expertise rhumatologique de décembre 2003 et l’examen clinique au SMR du 10 février 2006) apparaît en contradiction avec le rapport d’examen de ce même SMR du 9 mai/18 décembre 2006, qui relève qu’à l’époque de ladite expertise la mobilité du rachis lombaire et de l’épaule droite était meilleure qu’au moment de l’examen au SMR du 10 février 2006.</w:t>
      </w:r>
    </w:p>
    <w:p>
      <w:r>
        <w:rPr>
          <w:b/>
        </w:rPr>
        <w:t>E. 7</w:t>
      </w:r>
    </w:p>
    <w:p>
      <w:r>
        <w:t>Aussi la cause doit-elle être renvoyée à l'administration afin qu'elle ordonne une nouvelle expertise pluridisciplinaire (rhumatologique, orthopédique et psychiatrique) auprès d’un centre d’observation médicale de l’AI (COMAI).</w:t>
      </w:r>
    </w:p>
    <w:p>
      <w:r>
        <w:rPr>
          <w:b/>
        </w:rPr>
        <w:t>E. 8</w:t>
      </w:r>
    </w:p>
    <w:p>
      <w:r>
        <w:t>Le recours étant partiellement admis, la recourante, représentée par un avocat, a droit à l’allocation de dépens, fixés en l'espèce 1'500 fr. (art. 61 let. g LPGA).</w:t>
      </w:r>
    </w:p>
    <w:p>
      <w:r>
        <w:rPr>
          <w:b/>
        </w:rPr>
        <w:t>E. 9</w:t>
      </w:r>
    </w:p>
    <w:p>
      <w:r>
        <w:t>Conformément à l'art. 69 al. 1bis LAI, un émolument de 500 fr. est mis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