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ATAS/639/2016 vom 17. August 2016</w:t>
      </w:r>
    </w:p>
    <w:p>
      <w:r>
        <w:t>GE Cour de justice, 2016-08-17, FR</w:t>
      </w:r>
    </w:p>
    <w:p>
      <w:r>
        <w:rPr>
          <w:b/>
        </w:rPr>
        <w:t xml:space="preserve">Quelle: </w:t>
      </w:r>
      <w:r>
        <w:t>https://mcp.opencaselaw.ch/entscheid/ge_gerichte_ATAS_639_2016</w:t>
      </w:r>
    </w:p>
    <w:p>
      <w:r>
        <w:t>FR: GE_GERICHTE ATAS/639/2016 du 17 août 2016</w:t>
      </w:r>
    </w:p>
    <w:p>
      <w:r>
        <w:t>IT: GE_GERICHTE ATAS/639/2016 del 17 agosto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nouvelles normes de la LPGA et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t>A/4295/2015 - 7/15 -</w:t>
      </w:r>
    </w:p>
    <w:p>
      <w:r>
        <w:rPr>
          <w:b/>
        </w:rPr>
        <w:t>E. 3</w:t>
      </w:r>
    </w:p>
    <w:p>
      <w:r>
        <w:t>Interjeté dans la forme et le délai prescrits, le recours est recevable (art. 56 et 60 LPGA ; art. 89B de la loi sur la procédure administrative du 12 septembre 1985, LPA-GE - E 5 10).</w:t>
      </w:r>
    </w:p>
    <w:p>
      <w:r>
        <w:rPr>
          <w:b/>
        </w:rPr>
        <w:t>E. 4</w:t>
      </w:r>
    </w:p>
    <w:p>
      <w:r>
        <w:t>Le litige porte sur le droit de la recourante à une rente de l’assurance-invalidité, singulièrement sur son degré d’invalidité, suite à sa nouvelle demande déposée le</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I.237/04 du 30 novembre 2004 consid. 4.2).</w:t>
      </w:r>
    </w:p>
    <w:p>
      <w:r>
        <w:rPr>
          <w:b/>
        </w:rPr>
        <w:t>E. 9</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w:t>
      </w:r>
    </w:p>
    <w:p>
      <w:r>
        <w:t>A/4295/2015 - 9/15 -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 la publication consid. 5.2). En revanche, ils ne sont pas applicables par analogie à la fatigue liée au cancer (cancer-related Fatigue) (ATF 139 V 346 consid. 3; arrêt du Tribunal fédéral 9C_73/2013 du 2 septembre 2013 consid. 5).</w:t>
      </w:r>
    </w:p>
    <w:p>
      <w:r>
        <w:rPr>
          <w:b/>
        </w:rPr>
        <w:t>E. 10</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w:t>
      </w:r>
    </w:p>
    <w:p>
      <w:r>
        <w:t>A/4295/2015 - 10/15 -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w:t>
      </w:r>
    </w:p>
    <w:p>
      <w:r>
        <w:t>A/4295/2015 - 11/15 - 2.2.2,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w:t>
      </w:r>
    </w:p>
    <w:p>
      <w:r>
        <w:t>A/4295/2015 - 12/15 -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t>A/4295/2015 - 13/15 -</w:t>
      </w:r>
    </w:p>
    <w:p>
      <w:r>
        <w:rPr>
          <w:b/>
        </w:rPr>
        <w:t>E. 12</w:t>
      </w:r>
    </w:p>
    <w:p>
      <w:r>
        <w:t>Selon l’intimé, la recourante a bénéficié de mesures professionnelles et obtenu une certification en tant qu’assistante administrative, activité compatible avec ses atteintes à la santé et qu’elle peut exercer à 100%. La recourante conteste pouvoir exercer cette activité à plein temps. Elle a semble-t-il, connu des difficultés à suivre la formation en raison de son état de santé, - alors que son caractère volontaire a été relevé -, raison pour laquelle elle l’a accomplie, en tout cas pour un temps, à 50 %. En outre, après l’évaluation du poste de travail, une chaise de bureau adaptée, prise en charge par l’intimé, a dû être commandée (communication du 28 janvier 2013). La chambre de céans constate que la recourante n’a pas obtenu de diplôme, mais une certification, dont on ignore sa valeur sur le marché du travail. De plus, les limitations dues à son état de santé l’auraient empêchée de suivre les cours de dactylographie, domaine pourtant essentiel pour une assistante administrative. On ne trouve cependant aucun renseignement à ce sujet dans le dossier. Sur le plan médical, le Dr E______ diagnostiquait en 2012 une tendinopahie et une brachialgie. La recourante présentait des douleurs chroniques et ne pouvait plus soulever des charges. Interrogé par l’intimé sur le point de savoir si une formation d’assistante administrative à 50% était possible, le médecin traitant avait répondu le 1er novembre 2012 que c’était très variable, en raison des douleurs et que 50 % était un maximum. À fin 2012, une échographie révélait des problèmes à l’épaule, notamment une tendino-bursite calcifiante du sus-épineux. Dans son rapport du 23 novembre 2015, le Dr E______ indique suivre la recourante pour des roubles fibromyalgiques, des troubles du rachis, du genou et des troubles douloureux des membres supérieurs. L’intimé affirme que ce diagnostic de fibromyalgie est évoqué pour la première fois par le Dr E______. Ceci est inexact. En effet, dans son rapport du 1er novembre 2012, le médecin traitant évoquait déjà des douleurs somatoformes et, dans le rapport du 23 septembre 2013, il indiquait que l’état de santé de la recourante s’était aggravé et qu’il lui était impossible, en raison des douleurs et de son état dépressif sévère, d’exercer tout travail en milieu normal. La recourante a d’ailleurs consulté en mai 2014 un psychiatre, le Dr H______, que l’intimé n’a pas jugé utile d’interroger. En l’état actuel du dossier, la chambre de céans n’est pas en mesure de statuer sur le droit de la recourante à une rente. En effet, l’intimé n’a procédé à aucune instruction sur le plan médical quant à l’évolution de l’état de santé de la recourante depuis le dépôt de sa demande en 2012, au regard notamment de la fibromyalgie, et de ses conséquences sur sa capacité de travail résiduelle. Il convient par ailleurs de rappeler que la nouvelle jurisprudence du Tribunal fédéral en matière de troubles somatoformes douloureux et d’affections psychosomatiques assimilées s’applique à tous les cas en cours.</w:t>
      </w:r>
    </w:p>
    <w:p>
      <w:r>
        <w:t>A/4295/2015 - 14/15 - Au vu de ce qui précède, la cause sera renvoyée à l’intimé pour instruction complémentaire sous forme d’une expertise conforme aux exigences posées par le Tribunal fédéral, laquelle comportera, à tout le moins, un volet rhumatologique et un volet psychiatrique.</w:t>
      </w:r>
    </w:p>
    <w:p>
      <w:r>
        <w:rPr>
          <w:b/>
        </w:rPr>
        <w:t>E. 13</w:t>
      </w:r>
    </w:p>
    <w:p>
      <w:r>
        <w:t>Le recours est partiellement admis. La décision du 5 novembre 2015 est annulée et la cause renvoyée à l’intimé pour instruction complémentaire et nouvelle décision.</w:t>
      </w:r>
    </w:p>
    <w:p>
      <w:r>
        <w:rPr>
          <w:b/>
        </w:rPr>
        <w:t>E. 14</w:t>
      </w:r>
    </w:p>
    <w:p>
      <w:r>
        <w:t>La recourante, représentée par un avocat, a droit à une indemnité à titre de participation à ses frais et dépens, fixée en l’espèce à CHF 2'500.- (art. 61 let. g LPGA ; art. 6 du règlement sur les frais, émoluments et indemnités en procédure administrative du 30 juillet 1986, RFPA - E 5 10.03).</w:t>
      </w:r>
    </w:p>
    <w:p>
      <w:r>
        <w:rPr>
          <w:b/>
        </w:rPr>
        <w:t>E. 15</w:t>
      </w:r>
    </w:p>
    <w:p>
      <w:r>
        <w:t>Au vu du sort du litige, un émolument de CHF 500.- est mis à la charge de l’intimé (art. 69 al. 1bis LAI).</w:t>
      </w:r>
    </w:p>
    <w:p>
      <w:r>
        <w:t>A/4295/2015 - 15/15 -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