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ATAS/639/2015 vom 31. August 2015</w:t>
      </w:r>
    </w:p>
    <w:p>
      <w:r>
        <w:t>GE Cour de justice, 2015-08-31, FR</w:t>
      </w:r>
    </w:p>
    <w:p>
      <w:r>
        <w:rPr>
          <w:b/>
        </w:rPr>
        <w:t xml:space="preserve">Quelle: </w:t>
      </w:r>
      <w:r>
        <w:t>https://mcp.opencaselaw.ch/entscheid/ge_gerichte_ATAS_639_2015</w:t>
      </w:r>
    </w:p>
    <w:p>
      <w:r>
        <w:t>FR: GE_GERICHTE ATAS/639/2015 du 31 août 2015</w:t>
      </w:r>
    </w:p>
    <w:p>
      <w:r>
        <w:t>IT: GE_GERICHTE ATAS/639/2015 del 31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recours a été formé dans le délai et selon la forme prescrits (art. 38 al. 4 let. c art. 60 et 61 let. b LPGA). Il est par conséquent recevable.</w:t>
      </w:r>
    </w:p>
    <w:p>
      <w:r>
        <w:rPr>
          <w:b/>
        </w:rPr>
        <w:t>E. 4</w:t>
      </w:r>
    </w:p>
    <w:p>
      <w:r>
        <w:t>L’objet du litige est le bien-fondé de la suppression de la rente entière d'invalidité du recourant.</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 vertu de l’art. 28 al. 2 LAI, l’assuré a droit à une rente entière s’il est invalide à 70 % au moins, à un trois-quarts de rente s'il est invalide à 60 % au moins, à une demi-rente s’il est invalide à 50 % au moins, ou à un quart de rente s’il est invalide à 40% au moins.</w:t>
      </w:r>
    </w:p>
    <w:p>
      <w:r>
        <w:t>A/2089/2014 - 10/17 - b. L’art. 17 al. 1 LPGA dispose que si le taux d’invalidité du bénéficiaire de la rente subit une modification notable, la rente est, d’office ou sur demande, révisée pour l’avenir, à savoir augmentée ou réduite en conséquence, ou encore supprimée.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;ATF 117 V 198 consid. 4b p. 200; arrêts 9C_378/2014 du 21 octobre 2014 consid. 4.2; 9C_226/2013 du 4 septembre 2013).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w:t>
      </w:r>
    </w:p>
    <w:p>
      <w:r>
        <w:t>A/2089/2014 - 11/17 - Dans le domaine de l’assurance-invalidité, le point de départ d’une modification du droit aux prestations est fixé avec précision. En vertu de l’art. 88a du règlement du 17 janvier 1961 sur l’assurance-invalidité du 17 janvier 1961 (RAI - RS 831.201),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A/2089/2014 - 12/17 - Le juge n'a pas à prendre en considération les modifications du droit ou de l'état de fait postérieures à la date déterminante de la décision litigieuse (ATF 129 V 4 consid. 1.2). En particulier la documentation médicale établie après la décision attaquée ne peut être prise en compte que dans la mesure où elle permet une meilleure compréhension de l'état de santé de l'intéressé jusqu'au moment de la décision entreprise.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8</w:t>
      </w:r>
    </w:p>
    <w:p>
      <w:r>
        <w:t>a. En l'espèce, par décision du 26 septembre 2006, l'OAI a alloué à l'assuré une rente entière d'invalidité fondée sur une incapacité de travail moyenne de 80 %. Le 5 mars 2008, il a constaté que le degré d'invalidité de l'assuré n'avait pas changé au point d'influer son droit à la rente qu'il percevait. La Dresse C______ a informé l'OAI, dans un rapport du 2 février 2013, qu'il y avait eu un changement de diagnostic, le patient ayant développé un cancer cutané. Les limitations fonctionnelles observées étaient, à ce jour, essentiellement d'ordre psychiatrique, avec une intolérance au stress et à la frustration. La capacité de travail de l'assuré était de 100 % dans le poste de travail occupé en tant que jardinier et il était encore actuellement trop fragile, du point de vue psychiatrique, pour reprendre un travail. Entendue par la chambre de céans, la Dresse C______ a indiqué qu'elle pensait avoir fait une erreur dans le rapport précité et qu’elle avait utilisé le terme "capacité" au lieu d'"incapacité" de travail. De manière générale, les personnes qui avaient été transplantées du foie avaient une fatigabilité particulière qui entraînait une limitation de la capacité de travail de 30 % au moins. S’agissant de l'assuré, dans la mesure où son foie fonctionnait bien en 2013, on pouvait retenir une limitation de 30 % de la capacité de travail, en raison de l’effet des médicaments immunosuppresseurs. La Dresse C______ a également évoqué, lors de son audition par la chambre de céans, une capacité de travail de 50 % de l'assuré, en se référant essentiellement à son problème psychologique, mais aussi à la prise de poids et à son déconditionnement. La Dresse C______ a précisé ensuite à la chambre de céans que lorsqu'elle avait dit que l'assuré pouvait travailler à 50 %, c'était sans considérer ses problèmes psychiques, contrairement au Dr E______, qui lui, mentionnait une capacité de travail de 30 %, ce qui expliquait la différence.</w:t>
      </w:r>
    </w:p>
    <w:p>
      <w:r>
        <w:t>A/2089/2014 - 13/17 - Elle a encore indiqué que le travail de jardinier, qui exposait l'assuré au soleil, n’était pas bon pour lui, du fait des cancers de la peau qu'il avait développés en raison des médicaments immunodépresseurs. La chambre de céans retient pour établi, avec un degré de vraisemblance prépondérante, que l'assuré avait, en février 2013, une incapacité de travail de l'ordre de 30 %, en raison des conséquences de sa greffe de foie, soit une asthénie liée à la prise des médicaments immunodépresseurs, sur la base des premières déclarations de la Dresse C______ devant elle, qui étaient claires et spontanées. Le fait que ce médecin ait fait une erreur dans son rapport du 2 février 2013 à l'OAI, en mentionnant le terme "capacité" au lieu "d'incapacité" de travail, n'est pas de nature à faire douter de la valeur de son appréciation du cas, vu les explications données sur ce point. Le fait que la Dresse C______ ait également indiqué à la chambre de céans une capacité de travail de l'assuré de 50 % ne remet pas sérieusement en doute la capacité de travail de 70 % évoquée dans un premier temps car la Dresse C______ a justifié la capacité de travail à 50 %, essentiellement par les problèmes psychologiques de l'assuré. En effet, cette dernière n'étant pas spécialiste en psychiatrie, son appréciation sur les conséquences des problèmes psychologiques de l'assuré n'emporte pas conviction. La Dresse C______ s'est ensuite contredite en précisant qu'elle avait parlé d'une capacité de travail de 50 %, sans considérer les problèmes psychiques de l'assuré. Cette contradiction s'explique par le fait que, confrontée aux conclusions de son collègue, le Dr E______ - qui ne correspondaient pas aux siennes - elle a manifestement tenté de les faire concorder. Les dernières déclarations de la Dresse C______ ne remettent pas sérieusement la capacité de travail évoquée en premier lieu par cette dernière en lien avec son domaine de compétence, ce d'autant plus qu'elles sont également en contradiction avec la teneur de son rapport à l'OAI du 2 février 2013, dans lequel la doctoresse retenait que les limitations de l'assuré étaient essentiellement d'ordre psychiatrique. Sur questions de la chambre de céans, le Dr E______ a indiqué, le 16 avril 2015, que du point de vue des limitations fonctionnelles, l'assuré présentait une fatigue qui était difficile à évaluer et qu'il estimait sa capacité de travail à 30 %, baisse de rendement incluse, sans tenir compte d'éventuels problèmes psychiques. Cet avis médical, qui date de 2015 - soit après la décision de l'OAI et l'enquête effectuée par ce dernier sur la situation - n'emporte pas conviction, dès lors que le Dr E______ a indiqué, dans un courrier adressé le 4 juillet 2014 au conseil de l'assuré, que la capacité de travail de ce dernier était toujours de 30 %, en raison de problèmes divers, et notamment d'ordre psychique. Le psychiatre qui a suivi l'assuré à partir du mois de février 2012, le Dr F______, a estimé, le 11 juin 2013, que dès la fin de l'année 2012, après une hospitalisation à la clinique genevoise de Montana, l'état de celui-ci s'était globalement amélioré et</w:t>
      </w:r>
    </w:p>
    <w:p>
      <w:r>
        <w:t>A/2089/2014 - 14/17 - qu'il n'avait plus de limitations fonctionnelles en lien avec son état anxio-dépressif et sa dépendance à la cocaïne. Sa capacité de travail existait dans le travail effectué auparavant ou un autre. L'avis médical de ce médecin est déterminant parce qu'il a suivi le patient de manière régulière pendant environ deux ans. Il est en outre confirmé par les déclarations de l'assuré, qui a indiqué à la chambre de céans que, suite à sa cure à la clinique Montana, il avait cessé de prendre de la cocaïne et que, sous réserve d'une courte rechute, il allait beaucoup mieux psychologiquement. Le Dr G______ a indiqué, le 3 juillet 2014, au conseil de l'assuré, qu'actuellement, sur le plan psychiatrique, la capacité de travail de ce dernier était de 0 %. Cet avis médical ne remet pas sérieusement en cause celui de Dr F______, dès lors qu'il a été établi après la décision de l'OAI et qu'il fait essentiellement référence au suivi du patient pendant la période de 2008 à 2010, sans donner de détails sur l'état actuel de l'assuré. b. Il résulte des considérations qui précèdent que, dans sa décision du 10 juin 2014, l'OAI aurait dû retenir une capacité de travail de l'assuré de 70 %, et non de 100 %, et déterminer le taux d'invalidité en tenant compte du fait qu'il ne pouvait plus exercer son activité d'horticulteur qui le contraignait à s'exposer au soleil, vu les cancers de la peau qu’il développe en raison des médicaments immunosuppresseurs.</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A/2089/2014 - 15/17 -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Toutefois, dans certains domaines d'activités dans lesquels les postes à temps partiel sont répandus et répondent à un besoin de la part des employeurs, comme celui d'employé de bureau, le critère du taux d'occupation n'a guère d'importance (ATF du 30 avril 2012 9C 751/2011). L'étendue de l'abattement justifié dans un cas concret relève du pouvoir d'appréciation (ATF 132 V 393, consid. 3.3).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(ATF 126 V 75 consid. 5b/aa-cc p. 79, ATF du 6 février 2013 9C 861/2012).</w:t>
      </w:r>
    </w:p>
    <w:p>
      <w:r>
        <w:t>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En l'espèce, le taux d'invalidité doit être établi en comparant le salaire sans invalidité réalisé par l'assuré en tant qu'horticulteur à 100 %, actualisé à l'année de la décision de révision de l'OAI - soit en 2014 -, avec celui qu'il pourrait exercer</w:t>
      </w:r>
    </w:p>
    <w:p>
      <w:r>
        <w:t>A/2089/2014 - 16/17 - actuellement, établi selon les données statistiques ESS 2010 pour une activité simple et répétitive, actualisé à 2014, à 70 %. Le salaire sans invalidité de l'assuré en 2004 était de CHF 91'873.-. Adapté selon l'indice suisse des salaires nominaux pour les hommes (ISS; en 2004 : 1975 et en 2014 : 2220), son revenu sans invalidité en tant qu'horticulteur en 2014 aurait été de CHF 103'269.90 (CHF 91'873.- x 2220 / 1975). S'agissant du salaire avec invalidité, dans la mesure où le recourant n'a pas repris d'activité lucrative et qu'il ne peut plus exercer sa profession d'horticulteur, il convient de se référer aux ESS. Compte tenu de l'activité de substitution raisonnablement exigible de sa part dans un emploi adapté à son état de santé, le salaire de référence est celui auquel peuvent prétendre les hommes effectuant des activités simples et répétitives (niveau de qualification 4) dans le secteur privé, à savoir CHF 58'812.- par année (CHF 4'901.- x 12; ESS 2010, TA1). Au regard du large éventail d'activités simples et répétitives que recouvrent les secteurs de la production et des services, on doit en effet convenir qu'un certain nombre d’entre elles sont légères et adaptées aux limitations du recourant.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61'311.50 (58'812 x 41.7 / 40) et à CHF 63'278.25 indexé à 2014 selon l'évolution des salaires en termes nominaux (ISS, en 2010 : 2151 et en 2014 : 2220; soit 61'311.50 x 2220 /2151), ce qui correspond à un salaire de CHF 42'918.05 à 70 %. Il convient encore d'effectuer un abattement supplémentaire sur le salaire statistique de 20 % pour tenir compte de l'âge du recourant et du taux d'occupation. Le revenu avec invalidité à prendre en compte pour 2014 est ainsi de CHF 34'334.44 (42'918.05 – 8'583.61). En procédant à la comparaison des salaires sans et avec invalidité, le taux d'invalidité est de 67 % ([103'269.90 - 34'334.44] x 100 / 103'269.90 = 66,7 % arrondi à 67 %).</w:t>
      </w:r>
    </w:p>
    <w:p>
      <w:r>
        <w:t>Il en résulte que le recourant a droit à un trois-quarts de rente invalidité dès le 1er jour du 2ème mois suivant la décision du 10 juin 2014 et que c'est à tort que l'OAI lui a nié le droit à une rente invalidité dès cette date. Le recours sera ainsi partiellement admis. La décision de l'OAI du 10 juin 2014 sera annulée et le dossier renvoyé à ce dernier pour nouvelle décision au sens des considérants.</w:t>
      </w:r>
    </w:p>
    <w:p>
      <w:r>
        <w:rPr>
          <w:b/>
        </w:rPr>
        <w:t>E. 11</w:t>
      </w:r>
    </w:p>
    <w:p>
      <w:r>
        <w:t>Le recourant, représenté par un conseil et obtenant partiellement gain de cause, a droit à une indemnité à titre de participation à ses frais et dépens, que la chambre de céans fixera à CHF 2'500.- (art. 61 let. g LPGA et 89H al. 1 LPA).</w:t>
      </w:r>
    </w:p>
    <w:p>
      <w:r>
        <w:t>A/2089/2014 - 17/17 -</w:t>
      </w:r>
    </w:p>
    <w:p>
      <w:r>
        <w:rPr>
          <w:b/>
        </w:rPr>
        <w:t>E. 12</w:t>
      </w:r>
    </w:p>
    <w:p>
      <w:r>
        <w:t>L'intimé sera condamné au paiement d'un émolument de CHF 500.-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