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ATAS/639/2007 vom 5. Juni 2007</w:t>
      </w:r>
    </w:p>
    <w:p>
      <w:r>
        <w:t>GE Cour de justice, 2007-06-05, FR</w:t>
      </w:r>
    </w:p>
    <w:p>
      <w:r>
        <w:rPr>
          <w:b/>
        </w:rPr>
        <w:t xml:space="preserve">Quelle: </w:t>
      </w:r>
      <w:r>
        <w:t>https://mcp.opencaselaw.ch/entscheid/ge_gerichte_ATAS_639_2007</w:t>
      </w:r>
    </w:p>
    <w:p>
      <w:r>
        <w:t>FR: GE_GERICHTE ATAS/639/2007 du 5 juin 2007</w:t>
      </w:r>
    </w:p>
    <w:p>
      <w:r>
        <w:t>IT: GE_GERICHTE ATAS/639/2007 del 5 giugno 2007</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8 mai 2006 à la lumière des anciennes dispositions de la LAI pour la période s'étendant jusqu'au 31 décembre 2002 et, le cas échéant, au regard des nouvelles dispositions de la LPGA pour la période postérieure (ATF 130 V 332 consid. 2.2 et 2.3). En ce</w:t>
      </w:r>
    </w:p>
    <w:p>
      <w:r>
        <w:t>A/2055/2006 - 9/12 -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prévus par l’art. 60 LPGA, est recevable.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w:t>
      </w:r>
    </w:p>
    <w:p>
      <w:r>
        <w:t>A/2055/2006 - 10/12 -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Il convient en l'occurrence de déterminer si la recourante présente des atteintes à sa santé invalidantes lui ouvrant droit à des prestations de l'assurance-invalidité. Se trouvent au dossier de nombreuses attestations des médecins traitants, notamment des Drs RIGHETTI et JOLIAT, une expertise rhumatologique de septembre 2004 faite dans le cadre de l'assurance-accidents ainsi qu'une expertise pluridisciplinaire, complétée par des examens neurologique, neuropsychologique et psychiatrique datant de juillet 2005, également effectuée dans le cadre de l'assurance-accidents. Il convient tout d'abord de constater que ces expertises ont pleine valeur probante au regard des critères jurisprudentiels dégagés par le Tribunal fédéral des assurances. Les experts concluent en juillet 2005 à la possibilité d'une reprise</w:t>
      </w:r>
    </w:p>
    <w:p>
      <w:r>
        <w:t>A/2055/2006 - 11/12 - partielle dans une activité adaptée. Ils ne se prononcent cependant pas sur le taux de cette reprise et sur le type d'activités adaptées aux troubles de la recourante. Par ailleurs, il convient de relever que le médecin traitant a bien expliqué quel était le type de troubles présentés par la recourante. Il s'agit depuis l'accident de juin 2003 de vertiges rotatoires, consistant en des sensations constantes et quotidiennes d'étourdissement et d'ébriété, qui sont invalidantes, ainsi que de nucalgies, de blocages cervicaux intermittents et de baisse de la concentration. En décembre 2003, le Dr RIGHETTI annonce toutefois une nouvelle affection, soit une fibromyalgie. Il explique cependant devant le Tribunal de céans lors d'une audience d'enquêtes, que ce diagnostic n'est plus d'actualité. Le Dr JOLIAT, rhumatologue, s'est également exprimé à ce sujet, indiquant que cette symptomatologie (la fibromyalgie), est de peu d'importance, puisqu'elle n'influence pas la capacité de travail. Aussi faut-il retenir que la symptomatologie principale présentée par la recourante consiste en des vertiges rotatoires et des nucalgies notamment qui, selon les experts, l'empêchent d'exercer son activité actuelle d'institutrice auprès de petits enfants. En effet, l'activité auprès de jeunes enfants suppose la faculté de se baisser fréquemment, ce qui provoque des vertiges chez la recourante. C'est d'ailleurs ce qu'ont retenu les experts en 2005, puisqu'ils constatent que seule une activité adaptée est exigible et non plus l'activité habituelle d'institutrice. Devant le Tribunal de céans, la recourante explique en outre également qu'elle ne peut plus travailler avec de petits enfants qui exigent qu'on soit alerte, qu'on s'accroupisse et qu'on les porte, ce qui relève du bon sens. Au vu de ce qui précède, le Tribunal de céans constate que la symptomatologie médicale de la recourante a été suffisamment investiguée, dans le cadre des expertises diligentées par l'assurance-accidents. Cependant, en l'état du dossier, force est de constater qu'il n'est pas possible de déterminer la capacité résiduelle de travail de l'assurée, au bénéfice d'un CFC de commerce, soit d'établir quelles seraient les activités adaptées à son état de santé, et à quel taux. En effet, non seulement les experts ne se prononcent-ils pas sur le taux de capacité résiduelle, mais encore les médecins traitants sont-ils d'avis contradictoires. Le Dr RIGHETTI estime sa patiente totalement incapable de travailler pour toute activité et même pour certaines tâches ménagères et le Dr JOLIAT estime quant à lui que l'activité exercée jusqu'alors est encore exigible à raison de quatre heures par jour. Le Tribunal de céans renverra donc le dossier à l'OCAI pour complément d'instruction sous forme de stages professionnels qui tiendront compte du CFC de commerce de la recourante et qui viseront à déterminer de façon concrète quelles sont les activités adaptées à son handicap, et à quel taux celles-ci peuvent être effectuées, conformément au principe jurisprudentiel selon lequel un assuré doit mettre à contribution sa capacité résiduelle de travail. Sur ce, l'intimé rendra une nouvelle décision. Ces mesures professionnelles veilleront à placer la recourante</w:t>
      </w:r>
    </w:p>
    <w:p>
      <w:r>
        <w:t>A/2055/2006 - 12/12 - dans une situation réelle, permettant de vérifier quelle est sa capacité de concentration dans le cadre d'une activité le bureau, notamment.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