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ATAS/638/2021 vom 17. Juni 2021</w:t>
      </w:r>
    </w:p>
    <w:p>
      <w:r>
        <w:t>GE Cour de justice, 2021-06-17, FR</w:t>
      </w:r>
    </w:p>
    <w:p>
      <w:r>
        <w:rPr>
          <w:b/>
        </w:rPr>
        <w:t xml:space="preserve">Quelle: </w:t>
      </w:r>
      <w:r>
        <w:t>https://mcp.opencaselaw.ch/entscheid/ge_gerichte_ATAS_638_2021</w:t>
      </w:r>
    </w:p>
    <w:p>
      <w:r>
        <w:t>FR: GE_GERICHTE ATAS/638/2021 du 17 juin 2021</w:t>
      </w:r>
    </w:p>
    <w:p>
      <w:r>
        <w:t>IT: GE_GERICHTE ATAS/638/2021 del 17 giugno 2021</w:t>
      </w:r>
    </w:p>
    <w:p>
      <w:pPr>
        <w:pStyle w:val="Heading2"/>
      </w:pPr>
      <w:r>
        <w:t>Volltext</w:t>
      </w:r>
    </w:p>
    <w:p>
      <w:r>
        <w:t>Siégeant : Karine STECK, Présidente ; Philippe LE GRAND ROY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A/1247/2021 ATAS/638/2021 COUR DE JUSTICE Chambre des assurances sociales Arrêt du 17 juin 2021 3ème Chambre</w:t>
      </w:r>
    </w:p>
    <w:p>
      <w:r>
        <w:t>En la cause Monsieur A______, domicilié ______, à VÉSENAZ</w:t>
      </w:r>
    </w:p>
    <w:p>
      <w:r>
        <w:t>recourant</w:t>
      </w:r>
    </w:p>
    <w:p>
      <w:r>
        <w:t>contre CAISSE CANTONALE GENEVOISE DE COMPENSATION, Service juridique, sise 12, rue des Gares, GENÈVE</w:t>
      </w:r>
    </w:p>
    <w:p>
      <w:r>
        <w:t>intimée</w:t>
      </w:r>
    </w:p>
    <w:p>
      <w:r>
        <w:t>A/1247/2021 - 2/2 - Vu la décision sur opposition du 12 mars 2021 de la caisse cantonale genevoise de compensation (ci-après : la caisse) confirmant sa décision en réparation de dommage du 11 février 2021, réclamant à Monsieur A______ le paiement de CHF 31'998.20, correspondant aux cotisations AVS/AC/AMAT et contributions AF impayées pour l’année 2017 y.c. les frais d’administration, de sommation, de poursuites et les intérêts moratoires ; Vu le recours du 8 avril 2021 interjeté par l’intéressé contre cette décision ; Vu le complément de recours du 10 mai 2019 et les pièces jointes ; Attendu que par courrier du 7 juin 2021, l’intéressé a déclaré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