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ATAS/638/2013 vom 26. Juni 2013</w:t>
      </w:r>
    </w:p>
    <w:p>
      <w:r>
        <w:t>GE Cour de justice, 2013-06-26, FR</w:t>
      </w:r>
    </w:p>
    <w:p>
      <w:r>
        <w:rPr>
          <w:b/>
        </w:rPr>
        <w:t xml:space="preserve">Quelle: </w:t>
      </w:r>
      <w:r>
        <w:t>https://mcp.opencaselaw.ch/entscheid/ge_gerichte_ATAS_638_2013</w:t>
      </w:r>
    </w:p>
    <w:p>
      <w:r>
        <w:t>FR: GE_GERICHTE ATAS/638/2013 du 26 juin 2013</w:t>
      </w:r>
    </w:p>
    <w:p>
      <w:r>
        <w:t>IT: GE_GERICHTE ATAS/638/2013 del 26 giugno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A/1643/2012 - 14/26 -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degré d’invalidité présenté par la recourante et plus particulièrement sur l’évaluation de la capacité de travail et de la capacité à effectuer les travaux ménagers.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a/aa)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A/1643/2012 - 15/26 -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b/aa)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A ce jour, le Tribunal fédéral n’a cependant pas pris position sur cette controverse médicale (ATF 132 V 65 consid. 3.2 et 3.3). b/bb)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w:t>
      </w:r>
    </w:p>
    <w:p>
      <w:r>
        <w:t>A/1643/2012 - 16/26 - troubles somatoformes douloureux lorsqu'il s'agit d'apprécier le caractère invalidant d'une fibromyalgie (ATF 132 V 65 consid. 4.1). Selon la jurisprudence,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Pour les raisons qui viennent être exposées ci-dessus, il y a lieu de poser la même présomption en présence d'une fibromyalgie (ATF 132 V 65 consid. 4.2). Le Tribunal fédéral des assurances (TFA)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354 et ATF 131 V 50). Il est légitime d'admettre que ces circonstances sont également susceptibles de fonder exceptionnellement un pronostic défavorable dans les cas de fibromyalgie (ATF 132 V 65 consid. 4.2). A cet égard,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w:t>
      </w:r>
    </w:p>
    <w:p>
      <w:r>
        <w:t>A/1643/2012 - 17/26 -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w:t>
      </w:r>
    </w:p>
    <w:p>
      <w:r>
        <w:rPr>
          <w:b/>
        </w:rPr>
        <w:t>E. 7</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t>A/1643/2012 - 18/26 -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8</w:t>
      </w:r>
    </w:p>
    <w:p>
      <w:r>
        <w:t>a/aa)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(CIIAI). Aux conditions posées par la jurisprudence (ATF 128 V 93), une telle enquête a valeur probante. b)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w:t>
      </w:r>
    </w:p>
    <w:p>
      <w:r>
        <w:t>A/1643/2012 - 19/26 -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w:t>
      </w:r>
    </w:p>
    <w:p>
      <w:r>
        <w:rPr>
          <w:b/>
        </w:rPr>
        <w:t>E. 9</w:t>
      </w:r>
    </w:p>
    <w:p>
      <w:r>
        <w:t>a) Pour pouvoir calculer le degré d'invalidité, l'administration ou l'instance de recours a tout d’abord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A/1643/2012 - 20/26 - écarter aussi longtemps qu'aucun indice concret ne permet de douter de leur bien- 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w:t>
      </w:r>
    </w:p>
    <w:p>
      <w:r>
        <w:t>A/1643/2012 - 21/26 - 9C_162/2007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11</w:t>
      </w:r>
    </w:p>
    <w:p>
      <w:r>
        <w:t>a) En l’espèce, l’intimé se fonde sur deux expertises – rhumatologique et psychiatrique – pour refuser le droit aux prestations de la recourante. Il y a donc lieu d’examiner la valeur probante desdites expertises. a/aa) Concernant tout d’abord le rapport d’expertise du Dr N__________, il correspond en tous points aux réquisits jurisprudentiels précités. Il se fonde en effet sur l'étude du dossier médical complet, établit l'anamnèse de l'assurée et relate ses plaintes. L'expert a posé ses diagnostics - qui ne sont au demeurant pas contestés par la recourante - après des examens minutieux et ses conclusions sont claires et motivées. L’expert a notamment expliqué les motifs pour lesquels son appréciation de la capacité de travail se différenciait de celle de la Dresse H__________, dans la mesure où il n’avait constaté ni amyotrophie ni trouble neurologique faisant évoquer un syndrome radiculaire. Compte tenu des constatations cliniques, le Dr N__________ a notamment retenu que l’assurée était capable de travailler à 80% dans son ancienne activité – qu’il a d’ailleurs qualifiée d’adaptée dans la mesure où la recourante s’occupait de ses employeurs et effectuait du gardiennage, toutes les activités lourdes étant effectuées par des tierces personnes. La capacité de travail était en outre entière dans une activité adaptée aux limitations fonctionnelles suivantes : mouvements en porte-à-faux, port de charges de plus de 5kg avec long bras de levier, mouvements combinés de rotation-rétro-flexion, longs trajets en voiture ainsi que positions immobiles assises ou debout prolongées. Partant, une pleine valeur probante doit être attribuée à l’expertise du Dr N__________ et il y a donc lieu de considérer que le syndrome cervico-brachial et les lombopygialgies récurrentes dont souffre la recourante entraînent une incapacité de travail de 20% dans l’activité habituelle et une totale capacité de travail dans une activité adaptée aux limitations fonctionnelles. Cela étant, le Dr N__________ a également fait état d’une fibromyalgie. Cependant, pour qu’une telle atteinte puisse être considérée comme invalidante, elle doit être associée à une affection psychique qui, en elle-même ou en corrélation avec l'état douloureux, est propre à entraîner une limitation de longue durée de la</w:t>
      </w:r>
    </w:p>
    <w:p>
      <w:r>
        <w:t>A/1643/2012 - 22/26 - capacité de travail pouvant conduire à une invalidité. Partant, il y a donc lieu d’examiner la valeur probante de l’expertise du Dr O__________. a/bb) S’agissant de cette dernière expertise, force est de constater qu’elle comporte une anamnèse familiale, professionnelle et psychosociale détaillée, une description des plaintes subjectives de l'assurée et le compte-rendu des constatations cliniques. L’expert psychiatre a ensuite discuté le cas, tenu compte des plaintes exprimées par la patiente et posé un diagnostic selon la Classification internationales des maladies (CIM-10). Partant, l’expertise du Dr O__________ répond aux réquisits jurisprudentiels permettant de lui reconnaître une pleine valeur probante, ce qui n’est d’ailleurs contesté ni par la recourante ni par ses médecins traitants. Sur le fond, l’expert a considéré que la recourante souffrait d'une dysthymie, qui est une affection psychique correspondant au trouble F 34.1 de la CIM-10. Concrètement, il s'agit d'un abaissement chronique de l'humeur, persistant au moins depuis plusieurs années, mais dont la sévérité est insuffisante, ou, dont la durée des différents épisodes est trop brève, pour justifier un diagnostic de trouble dépressif récurrent, sévère, moyen ou léger. Cette affection peut ainsi être qualifiée d'humeur dépressive qui n'atteint même pas la gravité d'un état dépressif majeur léger (voir notamment l’ATF non publié I 354/01 du 3 mai 2002 consid. 4b pour les explications médicales). En d’autres termes, le Dr O__________ n'a mis en évidence aucun substrat médical pertinent, entravant la capacité de travail (et de gain) de la recourante de manière importante (voir notamment ATF non publié I 354/01 du 3 mai 2002 consid. 4b). Le Dr O__________ a ainsi considéré que l’examen psychiatrique auquel il avait procédé le 15 mars 2011 ne mettait pas en évidence de maladie psychiatrique responsable d’une atteinte à la capacité de travail de longue durée. a/cc) Reste encore à examiner si la fibromyalgie relevée par le Dr N__________ est invalidante. Comme cela ressort du considérant 6b/bb supra, la dysthymie ne permet pas d’établir l’existence d’une comorbidité psychiatrique d’une acuité et d’une gravité suffisamment importantes pour admettre qu'aucun effort de volonté en vue de surmonter les douleurs ayant conduit au diagnostic de fibromyalgie et de réintégrer un processus de travail n'est exigible de la part de la recourante (voir arrêt non publié I 488/04 du 31 janvier 2006). En l’absence de comorbidité psychiatrique, il doit avoir cumul d'autres critères présentant une certaine intensité et constance mentionnés supra. Or, à l’exception des affections corporelles chroniques (syndrome cervico-brachial et les lombopygialgies récurrentes), la recourante ne remplit aucun des autres critères jurisprudentiels. Elle ne subit pas de perte d'intégration sociale dans toutes les manifestations de la vie et ne présente pas</w:t>
      </w:r>
    </w:p>
    <w:p>
      <w:r>
        <w:t>A/1643/2012 - 23/26 - d’état psychique cristallisé. On ne peut pas non plus parler d’échec du traitement dans la mesure où l’atteinte psychique n’a pas nécessité un tel traitement. Partant, les troubles psychiques présentés par la recourante ne se manifestent pas avec une telle sévérité que, d'un point de vue objectif, ils excluent toute mise en valeur de la capacité de travail. Au contraire, il y a lieu d'admettre le caractère exigible d'un effort de volonté de sa part en vue de surmonter la douleur et de se réinsérer dans un processus de travail. b) Cela étant, les expertises précitées n’ont examiné que les problématiques rhumatologique et psychique. Or, par courrier du 16 octobre 2012, le Dr J__________ a relevé plusieurs atteintes qui n’ont été examinées que très succinctement par l’OAI. Si prises isolément, elles n’ont que peu ou pas de répercussions sur la capacité de travail, les autres atteintes dont souffre la recourante (antécédents de tachycardie ventriculaire, asthme allergique, épisodes de dyspnée, atteinte auditive, déficit immunitaire IgG1), combinées entre elles, peuvent cependant restreindre sa capacité de travail ou, du moins, le type d’activités adaptées. Ainsi, par exemple, le traitement du déficit immunitaire IgG1 entraîne le jour même un inconfort général puis, au cours des deux à trois jours suivants, une hypotension variable et une fatigue. Dans la mesure où le traitement doit être effectué toutes les six semaines, les effets secondaires peuvent durer jusqu’à 26 jours par année au total (52 sem./ 6 sem. x 3 jours) et ainsi entraîner une diminution de rendement, voire une incapacité de travailler, pendant plus d’un mois par année, soit pendant plus de 10% d’une année de service. L’asthme de la recourante présente des fluctuations importantes et imprévisibles. Selon le Dr J__________, cette atteinte permettrait éventuellement un travail léger, à mi-temps, dans un environnement exempt d’acariens et d’irritants mais non pas la reprise d’une activité de femme de ménage. Or, justement, l’OAI retient que la recourante serait capable de travailler dans son ancienne activité de femme de ménage et qu’elle serait capable d’effectuer toutes les tâches ménagères. Enfin, il ressort des pièces du dossier que la recourante présente un déficit auditif de 86,9% en moyenne. La recourante a expliqué en audience avoir souffert de plusieurs épisodes d’infection, pendant lesquels elle ne pouvait plus mettre les appareils auditifs. Or cela constitue à l’évidence un élément à prendre en considération lorsqu’il y a lieu de déterminer l’activité adaptée. Dans ce contexte, la Cour de céans constate également que la Dresse M__________ du SMR a fait état d’une activité adaptée « à traduire en termes de métier par un spécialiste de la réadaptation ». Or, quand bien même il appartient à l’assureur de prendre d’office les mesures d’instruction nécessaires (art. 43 al. 1 LPGA), l’OAI n’a pas fait appel au spécialiste en réadaptation pourtant préconisé par son SMR.</w:t>
      </w:r>
    </w:p>
    <w:p>
      <w:r>
        <w:t>A/1643/2012 - 24/26 - Ainsi, dans la mesure où ni les atteintes ni l’activité adaptée n’ont été investiguées à satisfaction de droit par l’OAI, l’instruction est à l’évidence lacunaire. c) Concernant la capacité à effectuer les tâches liées à la tenue du ménage, force est de constater que l’intimé n’a pas effectué d’enquête à domicile. Dans sa réponse du 21 juin 2012, il explique qu’il s’est fondé sur le les rapports d’expertise du Dr N__________ du 21 octobre 2010 et du Dr O__________ du 16 mars 2011 pour apprécier la capacité de la recourante à effectuer les tâches ménagères. D’emblée, la Cour de céans constate que les expertises du Dr N__________ et du Dr O__________ ont été réalisée près de 18 mois, respectivement plus d’un an avant la décision litigieuse. Or, la situation de la recourante a pu évoluer entre temps. De plus, dans son écriture du 25 mai 2012, la recourante explique notamment qu’elle n’est plus capable d’effectuer les tâches suivantes et que ce sont son mari et sa fille qui s’en chargent : faire du repassage, nettoyer les vitres, passer l’aspirateur, nettoyer la poussière, laver les salles de bains. En outre, bon nombre de ces activités sont proscrites par l’expert rhumatologue lorsqu’il a examiné le type d’activité professionnelle encore exigible. Enfin, la recourante souffre de dyspnée, d’asthme et d’une allergie aux acariens, atteintes qui n’ont pas été prises en considération par les experts et qui peuvent avoir une incidence sur les tâches ménagères que la recourante peut encore effectuer. Partant, force est de constater que l’instruction de l’intimé quant à la capacité de la recourante à effectuer ses tâches ménagères est également lacunaire.</w:t>
      </w:r>
    </w:p>
    <w:p>
      <w:r>
        <w:rPr>
          <w:b/>
        </w:rPr>
        <w:t>E. 12</w:t>
      </w:r>
    </w:p>
    <w:p>
      <w:r>
        <w:t>Au vu de ce qui précède, la Cour de céans n’est pas en mesure, en l’état actuel du dossier, de tirer des conclusions définitives quant aux atteintes à la santé de la recourante et de leurs répercussions sur la capacité de travail. Le recours sera donc partiellement admis et la décision du 25 avril 2012 annulée. La cause sera renvoyée à l’OAI pour qu’il effectue une instruction médicale complète portant sur toutes les atteintes dont souffre la recourante, et non pas seulement sur les atteintes rhumatologique et psychiatrique, et qu’il sollicite l’avis d’un spécialiste en réadaptation qui, en cas de nécessité mettra sur pied une observation professionnelle, pour déterminer l’activité adaptée à l’état de santé de la recourante. Une fois que toutes les atteintes auront été investiguées à satisfaction de droit sur le plan médical, l’OAI devra également mettre sur pied une enquête ménagère afin de déterminer dans quelle mesure la recourante est encore apte à effectuer ses tâches habituelles. La recourante n’étant pas représentée, elle ne peut prétendre à des dépens.</w:t>
      </w:r>
    </w:p>
    <w:p>
      <w:r>
        <w:t>A/1643/2012 - 25/26 - Etant donné que, depuis le 1er juillet 2006, la procédure n'est plus gratuite (art. 69 al. 1bis LAI), au vu du sort du recours, il y a lieu de condamner l'intimé au paiement d'un émolument de 200 fr.</w:t>
      </w:r>
    </w:p>
    <w:p>
      <w:r>
        <w:t>A/1643/2012 - 26/26 -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