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ATAS/638/2005 vom 28. Juli 2005</w:t>
      </w:r>
    </w:p>
    <w:p>
      <w:r>
        <w:t>GE Cour de justice, 2005-07-28, FR</w:t>
      </w:r>
    </w:p>
    <w:p>
      <w:r>
        <w:rPr>
          <w:b/>
        </w:rPr>
        <w:t xml:space="preserve">Quelle: </w:t>
      </w:r>
      <w:r>
        <w:t>https://mcp.opencaselaw.ch/entscheid/ge_gerichte_ATAS_638_2005</w:t>
      </w:r>
    </w:p>
    <w:p>
      <w:r>
        <w:t>FR: GE_GERICHTE ATAS/638/2005 du 28 juillet 2005</w:t>
      </w:r>
    </w:p>
    <w:p>
      <w:r>
        <w:t>IT: GE_GERICHTE ATAS/638/2005 del 28 luglio 2005</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w:t>
      </w:r>
    </w:p>
    <w:p>
      <w:r>
        <w:rPr>
          <w:b/>
        </w:rPr>
        <w:t>E. 6</w:t>
      </w:r>
    </w:p>
    <w:p>
      <w:r>
        <w:t>octobre 2000 (LPGA) qui sont relatives à la loi fédérale sur l’assurance-invalidité du 19 juin 1959 (LAI). 3.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w:t>
      </w:r>
    </w:p>
    <w:p>
      <w:r>
        <w:t>A/819/2004 - 7/11 - consid. 1.2 ; 169 consid. 1 ; 356 consid. 1 et les arrêts cités). Dans la mesure où l'incapacité de travail de la recourante a débuté en 1995, ces principes de droit intertemporel commandent l'examen du bien-fondé de la décision sur opposition du</w:t>
      </w:r>
    </w:p>
    <w:p>
      <w:r>
        <w:rPr>
          <w:b/>
        </w:rPr>
        <w:t>E. 9</w:t>
      </w:r>
    </w:p>
    <w:p>
      <w:r>
        <w:t>mars 2004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 4. Le Tribunal de céans constate que le recours, interjeté dans les forme et délai légaux prévus par l’art. 60 LPGA est recevable. 5. Aux termes de l'art. 4 LAI,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w:t>
      </w:r>
    </w:p>
    <w:p>
      <w:r>
        <w:t>A/819/2004 - 8/11 - jusqu'au 31 décembre 2002 (ATF 130 V 343 consid. 3.5).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6. Il convient en l’occurrence de déterminer si la décision initiale de l’OCAI (octroi d’une rente entière d’invalidité) peut être réexaminée par la voie de la révision ou par celle de la reconsidération. Pour que l’art. 17 LPGA s’applique, il faut que le taux d’invalidité ait subi une modification notable, après la décision initiale. En l’occurrence, force est de constater que les Drs D___________ (novembre 2001), E___________ (mars 2002), B___________ (mai et juin 2002), ainsi que les médecins du SMR LEMAN (août 2003) ont estimé que l’état de santé de la recourante était stationnaire par rapport à février 1998, date de l’octroi de la rente</w:t>
      </w:r>
    </w:p>
    <w:p>
      <w:r>
        <w:t>A/819/2004 - 9/11 - d’invalidité. Il est donc à l’évidence impossible de procéder à une révision selon l’art. 17 LPGA. Reste à établir si la décision initiale de l’OCAI peut être revue par la voie de la reconsidération. Il convient pour ce faire de déterminer si celle-ci était à l’époque manifestement erronée ou pas. Dans un ATFA non publié du 13 août 2003, en la cause I 790/01, le Tribunal fédéral des assurances (ci-après le TFA) a jugé que l’office de l’assurance- 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En l’occurrence, pour octroyer la rente, l’OCAI s’est basé sur des rapports des Drs B___________ et C___________, qui concluaient tous deux à une incapacité totale de travail depuis le 7 août 1995, ainsi que sur un rapport d’enquête à domicile. Il y a lieu de relever que la mention par le Dr C___________ sur un formulaire pré-imprimé « il n’y a pas de contre-indication dans la profession exercée jusqu’alors » - bien que l’incapacité fut totale - aurait pu faire douter l’OCAI de l’incapacité de l’assurée. Cependant, si l’intimé avait questionné ce médecin, il lui aurait été répondu que cette remarque n’avait pas trait à la capacité de travail de la patiente –laquelle était nulle - mais signifiait que l’activité de bureau ne présentait pas de risque majeur pour elle (cf. courrier du 1er septembre 2003 du Dr C___________). Ainsi, sur la base des deux certificats médicaux concordants - dont l’un émanait de la division de pneumologie des HUG -, et de l’enquête à</w:t>
      </w:r>
    </w:p>
    <w:p>
      <w:r>
        <w:t>A/819/2004 - 10/11 - domicile, conduite par une infirmière, l’OCAI pouvait légitimement considérer l’assurée comme totalement incapable de travailler dans toute activité. Peut-être aurait-il été opportun, à l’époque, de soumettre la recourante à une expertise médicale. Cependant, en présence de deux rapports médicaux aux conclusions similaires et d’un rapport d’enquête à domicile attestant d’un lourd taux d’empêchements ménagers (41%), l’on ne saurait considérer que l’instruction menée ait été alors lacunaire et que la décision prise fût manifestement erronée. Ainsi, en l’absence d’un motif de révision ou de reconsidération de la décision du 20 février 1998, la rente d’invalidité accordée à la recourante doit être maintenue. Au vu de ce qui précède, le recours, bien fondé, sera admis. Enfin, la recourante obtenant gain de cause aura droit à des dépens (art. 61 al. 1 let. d et g LPGA).</w:t>
      </w:r>
    </w:p>
    <w:p>
      <w:r>
        <w:t>A/819/2004 - 11/11 -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