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ATAS/637/2014 vom 22. Mai 2014</w:t>
      </w:r>
    </w:p>
    <w:p>
      <w:r>
        <w:t>GE Cour de justice, 2014-05-22, FR</w:t>
      </w:r>
    </w:p>
    <w:p>
      <w:r>
        <w:rPr>
          <w:b/>
        </w:rPr>
        <w:t xml:space="preserve">Quelle: </w:t>
      </w:r>
      <w:r>
        <w:t>https://mcp.opencaselaw.ch/entscheid/ge_gerichte_ATAS_637_2014</w:t>
      </w:r>
    </w:p>
    <w:p>
      <w:r>
        <w:t>FR: GE_GERICHTE ATAS/637/2014 du 22 mai 2014</w:t>
      </w:r>
    </w:p>
    <w:p>
      <w:r>
        <w:t>IT: GE_GERICHTE ATAS/637/2014 del 22 maggio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dès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Les décisions sur opposition peuvent faire l’objet d’un recours dans le délai de 30 jours suivant leur notification (art. 56 et 60 LPGA). En l’occurrence, la décision sur opposition a été notifiée au recourant par pli recommandé du 19 mars 2013 et le recourant l’a reçue, selon ses propres déclarations, le 20 mars 2013. Compte tenu des suspensions de délais du 7ème jour avant Pâques au 7ème jour après Pâques inclusivement (cf. art. 38 al. 4 let. a LPGA), le délai de 30 jours a commencé à courir le jeudi 21 mars 2013 et est parvenu à échéance le samedi 4 mai 2013. Cependant, lorsque le délai échoit un samedi, un</w:t>
      </w:r>
    </w:p>
    <w:p>
      <w:r>
        <w:t>A/1424/2013 - 8/16 - dimanche ou un jour férié selon le droit fédéral ou cantonal, son terme est reporté au premier jour ouvrable qui suit (art. 38 al. 3 1ère phrase LPGA). En conséquence, posté le lundi 6 mai 2012, le recours a été formé en temps utile (art. 39 al. 1 et 60 al. 2 LPGA). Interjeté qui plus est dans la forme prévue par la loi, le recours est donc recevable (art. 56ss LPGA).</w:t>
      </w:r>
    </w:p>
    <w:p>
      <w:r>
        <w:rPr>
          <w:b/>
        </w:rPr>
        <w:t>E. 5</w:t>
      </w:r>
    </w:p>
    <w:p>
      <w:r>
        <w:t>Le litige porte sur le droit du recourant à des mesures d’ordre professionnel et à une rente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lorsqu’il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A/1424/2013 - 9/16 -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A/1424/2013 - 10/16 -</w:t>
      </w:r>
    </w:p>
    <w:p>
      <w:r>
        <w:rPr>
          <w:b/>
        </w:rPr>
        <w:t>E. 9</w:t>
      </w:r>
    </w:p>
    <w:p>
      <w:r>
        <w:t>En l’espèce, l’intimé, se fondant sur l’expertise du Dr E______, a admis une totale incapacité de travail depuis le 6 février 2012 dans l’activité habituelle de chauffeur- livreur. Il a en revanche estimé que, dans un emploi adapté, l’assuré avait recouvré une pleine capacité de travail depuis le 27 juin 2012. On constate que l’expertise sur laquelle s’est fondé l’intimé repose sur un examen du recourant et l’étude de son dossier médical. L’anamnèse est détaillée et les plaintes du recourant ont été prises en considération. L’expertise est en outre bien motivée, puisqu’elle explique les diagnostics retenus et leurs répercussions sur la capacité de travail de l’intéressé. Ses conclusions sont ainsi dûment motivées. Il y a donc lieu reconnaître pleine valeur probante à ce rapport d’expertise, ce que les parties ne contestent pas au demeurant. Entendu par la Chambre de céans, le Dr F______ a certes rappelé que son rapport du 30 juillet 2012 faisait également état de limitations consécutives à une arthrose au genou gauche et que ces limitations s’ajoutaient à celles retenues par le Dr E______ et restaient d’actualité. Il n’en demeure pas moins que ces précisions n’affectent pas la valeur probante du rapport du Dr E______, dont le Dr F______ a déclaré partager les conclusions, tout comme le Prof. H______.</w:t>
      </w:r>
    </w:p>
    <w:p>
      <w:r>
        <w:rPr>
          <w:b/>
        </w:rPr>
        <w:t>E. 10</w:t>
      </w:r>
    </w:p>
    <w:p>
      <w:r>
        <w:t>Il convient à présent d’examiner la question du degré d’invalidité. 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126 V 75 consid. 3b/aa). On se réfère alors à la statistique des salaires bruts standardisés, en se fondant toujours sur la médiane ou valeur centrale (ATF 124 V 321 consid. 3b/bb).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car il est notoire que les personnes atteintes dans leur santé, qui présentent des limitations même pour</w:t>
      </w:r>
    </w:p>
    <w:p>
      <w:r>
        <w:t>A/1424/2013 - 11/16 -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 arrêt du Tribunal fédéral 9C_289/2012 du 15 octobre 2012). L'étendue de l'abattement justifié dans un cas concret relève du pouvoir d'appréciation (ATF 132 V 393 consid. 3.3).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w:t>
      </w:r>
    </w:p>
    <w:p>
      <w:r>
        <w:t>A/1424/2013 - 12/16 -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w:t>
      </w:r>
    </w:p>
    <w:p>
      <w:r>
        <w:t>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 revenu sans invalidité de 62'954 fr. (= 66'268 fr. sous déduction de 5% de ce montant).</w:t>
      </w:r>
    </w:p>
    <w:p>
      <w:r>
        <w:rPr>
          <w:b/>
        </w:rPr>
        <w:t>E. 11</w:t>
      </w:r>
    </w:p>
    <w:p>
      <w:r>
        <w:t>a/aa) Selon l’arrêt du Tribunal fédéral 8C_557/2012 précité,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Selon cette dernière source (ESS 2010), le revenu réalisé en 2010 par les hommes dans le domaine « transports et entreposage » pour une activité simple et répétitive était de CHF 57'288.- par année, compte tenu d’un salaire mensuel de CHF 4'774.- alloué 12 fois l’an (TA 1, ch. 49-53). En tenant compte d’un horaire usuel dans ce domaine de 42,4 h./sem. en 2011 (cf. la Vie économique 4-2014, table B 9.2 p. 90) et de l’évolution des salaires nominaux en 2011 (indexation selon ISS), cela correspond à un revenu annuel de CHF 61'310.- (CHF 4'774.- x 12 = CHF 57'288.- en 2010 pour 40 h./sem. = CHF 60'725.28 en 2010 pour un horaire de 42,4 h./sem. = CHF 61'310.- en 2011). Force est de constater que ce revenu dépasse de plus de 5% le salaire qu’aurait réalisé le recourant dans son dernier emploi en 2011. a/bb) Étant donné que le recourant n’a qu’un CFC de cuisinier, qu’il a travaillé essentiellement en tant que livreur depuis lors, qu’il parle très mal le français (cf.</w:t>
      </w:r>
    </w:p>
    <w:p>
      <w:r>
        <w:t>A/1424/2013 - 13/16 - pièce 39, p. 4 intimé) après une scolarité accomplie en Somalie, il y a lieu de considérer, au degré de la vraisemblance prépondérante (ATF 134 V 322 consid. 4.3), que c’est pour des raisons étrangères à l’invalidité qu’il réalisait un revenu inférieur à la moyenne et qu’il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58'244.50 (CHF 61'310.- sous déduction de 5% de ce montant). b) S’agissant du revenu d’invalide, les calculs de l’intimé figurant dans la décision querellée sont conformes aux réquisits jurisprudentiels et ne prêtent donc pas le flanc à la critique. Il reste toutefois à déterminer si une réduction supérieure à celle de 10%, retenue par l’intimé au titre des limitations fonctionnelles se justifie. Le recourant soutient à cet égard que ses douleurs aux épaules constituent un handicap particulièrement important, ce d’autant que sa reconversion, vu notamment son niveau de formation, ne pourra vraisemblablement s’effectuer que dans un domaine manuel. Il estime en conséquence que c’est une réduction d’au moins 20% qui aurait dû être opérée. Dans la mesure où le juge des assurances sociales ne peut, sans motif pertinent, substituer son appréciation à celle de l’administration (ATF 126 V 75 consid. 6 précité), la Chambre de céans s’abstiendra en principe d’appliquer une réduction supérieure à celle retenue dans la décision querellée. Toutefois, il appert que cette dernière se fonde sur l’avis du SMR du 12 octobre 2012 qui lui-même se réfère exclusivement à l’expertise du Dr E______, lequel n’a pas tenu compte de l’arthrose au genou gauche et des limitations fonctionnelles supplémentaires en découlant, telles que mentionnées par le Dr F______ le 30 juillet 2012. Il se justifie donc d’appliquer une réduction globale de 15% au revenu d’invalide pour tenir compte de l’ensemble des limitations fonctionnelles du recourant. En revanche, le recourant ne peut être suivi en tant qu’il inclut – sans plus d’explications – une diminution de rendement de 10% dans ses calculs, dite diminution ne ressortant ni du rapport du Dr E______, ni d’aucune pièce, à l’exception d’une erreur de plume manifeste de l’intimé (cf. pièce 25, p. 1-2 intimé). Si l’on applique une réduction supplémentaire de 15%, le revenu d’invalide s’établit à CHF 52'616,80 (ESS 2010, TA 1, valeur centrale, hommes : CHF 4'901.- x 12 en 2010, pour 40 h./sem. = CHF 58'812.- en 2010 pour 40 h./sem. = CHF 61'311,50 en 2010 pour 41,7 h./sem. = CHF 61'902,10 à 100% en 2011 après indexation selon ISS). c) Dans la mesure où le revenu sans invalidité se serait élevé à CHF 58'244.50 (CHF 61'310.- - 5%), le taux d’invalidité s’élève à 9,66% en application de la formule habituelle ([58'244,50 – 52'616,80] x 100 / 58'244,50). Il convient de l’arrondir à 10%.</w:t>
      </w:r>
    </w:p>
    <w:p>
      <w:r>
        <w:t>A/1424/2013 - 14/16 -</w:t>
      </w:r>
    </w:p>
    <w:p>
      <w:r>
        <w:rPr>
          <w:b/>
        </w:rPr>
        <w:t>E. 12</w:t>
      </w:r>
    </w:p>
    <w:p>
      <w:r>
        <w:t>Un taux d’invalidité de 10% étant trop faible pour ouvrir droit à une rente, il reste à déterminer si le recourant peut prétendre à une mesure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w:t>
      </w:r>
    </w:p>
    <w:p>
      <w:r>
        <w:t>A/1424/2013 - 15/16 -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w:t>
      </w:r>
    </w:p>
    <w:p>
      <w:r>
        <w:rPr>
          <w:b/>
        </w:rPr>
        <w:t>E. 13</w:t>
      </w:r>
    </w:p>
    <w:p>
      <w:r>
        <w:t>En l’espèce, le traitement du dossier par l’intimé se résume à une instruction médicale ainsi qu’à la détermination du taux d’invalidité du recourant. Bien que les considérants qui précèdent aient permis de corriger ce taux à la hausse, il n’en reste pas moins que la perte de gain liée à l’invalidité s’établit seulement à 10%, ce qui demeure insuffisant pour pouvoir prétendre un reclassement. Cela étant, dans la mesure où il est constant que le handicap du recourant l’empêche de poursuivre l’emploi qu’il exerçait jusque-là et réduit le champ des activités possibles, l’intimé ne saurait faire l’économie d’une instruction complémentaire portant sur des mesures professionnelles. Attendu que l’instruction du dossier se révèle lacunaire à cet égard, il y a lieu de renvoyer la cause à l’intimé pour qu’il instruise les conditions objectives et subjectives d’une mesure professionnelle autre que le reclassement et qu’il rende une nouvelle décision sur ce point.</w:t>
      </w:r>
    </w:p>
    <w:p>
      <w:r>
        <w:rPr>
          <w:b/>
        </w:rPr>
        <w:t>E. 14</w:t>
      </w:r>
    </w:p>
    <w:p>
      <w:r>
        <w:t>Le recours est donc admis partiellement et la décision litigieuse annulée en tant qu’elle refuse le droit à des mesures professionnelles, la cause étant renvoyée pour instruction sur ce point et nouvelle décision. Pour le surplus, dite décision sera confirmée en tant qu’elle refuse l’octroi d’une rente et d’un reclassement. Représenté par un conseil et obtenant partiellement gain de cause, le recourant a droit à une indemnité de CHF 2’000.-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w:t>
      </w:r>
    </w:p>
    <w:p>
      <w:r>
        <w:t>A/1424/2013 - 16/16 -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