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ATAS/637/2013 vom 26. Juni 2013</w:t>
      </w:r>
    </w:p>
    <w:p>
      <w:r>
        <w:t>GE Cour de justice, 2013-06-26, FR</w:t>
      </w:r>
    </w:p>
    <w:p>
      <w:r>
        <w:rPr>
          <w:b/>
        </w:rPr>
        <w:t xml:space="preserve">Quelle: </w:t>
      </w:r>
      <w:r>
        <w:t>https://mcp.opencaselaw.ch/entscheid/ge_gerichte_ATAS_637_2013</w:t>
      </w:r>
    </w:p>
    <w:p>
      <w:r>
        <w:t>FR: GE_GERICHTE ATAS/637/2013 du 26 juin 2013</w:t>
      </w:r>
    </w:p>
    <w:p>
      <w:r>
        <w:t>IT: GE_GERICHTE ATAS/637/2013 del 26 giugno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force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w:t>
      </w:r>
    </w:p>
    <w:p>
      <w:r>
        <w:rPr>
          <w:b/>
        </w:rPr>
        <w:t>E. 7</w:t>
      </w:r>
    </w:p>
    <w:p>
      <w:r>
        <w:t>a) Conformément à l'art. 28 al. 1 LPGA, les assurés et les employeurs doivent collaborer gratuitement à l'exécution des différentes lois sur les assurances sociales. L'al. 2 ajoute que celui qui fait valoir son droit à des prestations doit fournir gratuitement tous les renseignements nécessaires pour établir et fixer les prestations dues.</w:t>
      </w:r>
    </w:p>
    <w:p>
      <w:r>
        <w:t>A/3425/2012 - 8/13 - b) Selon l'art. 31 al. 1 LPGA, l'ayant droit, ses proches ou les tiers auxquels une prestation est versée sont tenus de communiquer à l'assureur ou, selon le cas, à l'organe compétent toute modification importante des circonstances déterminantes pour l'octroi d'une prestation. L'art. 24 OPC-AVS/AI stipule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En droit cantonal, l'art. 11 al. 1 LPCC prévoit que le bénéficiaire ou son représentant légal doit déclarer au service tout fait nouveau de nature à entraîner la modification du montant des prestations qui lui sont allouées ou leur suppression.</w:t>
      </w:r>
    </w:p>
    <w:p>
      <w:r>
        <w:rPr>
          <w:b/>
        </w:rPr>
        <w:t>E. 8</w:t>
      </w:r>
    </w:p>
    <w:p>
      <w:r>
        <w:t>a) En vertu de l'art. 25 al. 1 let. a OPC-AVS/AI, la prestation complémentaire annuelle doit être augmentée, réduite ou supprimée lors de chaque changement survenant au sein de la communauté de personnes comprises dans le calcul de la prestation complémentaire. La nouvelle décision doit porter effet dès le début du mois qui suit celui au cours duquel le changement est survenu (art. 25 al. 2 let. a OPC-AVS/AI). La prestation complémentaire annuelle doit également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Dans un tel cas, lors d'une diminution de l'excédent des dépenses (qui implique une baisse des prestations), la nouvelle décision doit porter effet dès le début du mois qui suit celui au cours duquel la nouvelle décision a été rendue. La créance en restitution est réservée lorsque l'obligation de renseigner a été violée (art. 25 al. 2 let. c OPC- AVS/AI). b) Les mêmes règles sont applicables à la modification des prestations cantonales (art. 19 LPCC). c) Ainsi, lorsque le versement indu résulte d'une violation de l'obligation de renseigner au sens des art. 31 LPGA, art. 24 OPC-AVS/AI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Par contre, s'il</w:t>
      </w:r>
    </w:p>
    <w:p>
      <w:r>
        <w:t>A/3425/2012 - 9/13 - n'y a aucune violation du devoir de renseigner, la décision ne peut produire ses effets qu'ex nunc et pro futuro.</w:t>
      </w:r>
    </w:p>
    <w:p>
      <w:r>
        <w:rPr>
          <w:b/>
        </w:rPr>
        <w:t>E. 9</w:t>
      </w:r>
    </w:p>
    <w:p>
      <w:r>
        <w:t>a) A teneur de l'art. 25 al. 1 LPGA les prestations indûment touchées doivent être restituées. La restitution ne peut être exigée lorsque l'intéressé était de bonne foi et qu'elle le mettrait dans une situation difficile. La restitution des prestations ne peut être demandée que si elles ont été indûment touchées. L'obligation de restituer suppose que soient remplies les conditions d'une reconsidération ou d'une révision procédurale de la décision initiale – formelle ou non - par laquelle les prestations en cause ont été allouées (art. 53 al. 1 et 2 LPGA ; ATF 130 V 318 consid. 5.2 ; cf. aussi ATF 130 V 380 consid. 2.3.1).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Selon l'art. 25 al. 2 LPGA,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Selon la jurisprudence relative à l'ancien art. 47 al 2 LAVS et à l'art. 25 al. 2 LPGA, le délai de péremption d'une année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(ATAF C-1221/2012 du 23 janvier 2013, consid. 3.3 ; ATF 112 V 180 consid. 4a ; ATF 111 V 14 consid. 3 ; ATF non publié I 62/02 du 2 avril 2004, consid. 4). La créance en restitution est une créance unique et globale, ce qui signifie que ce n'est qu'à partir du moment où celle-ci peut être déterminée dans son tout que le délai d'un an commence à courir (ATAF C-1221/2012 du 23 janvier 2013, consid. 3.3).</w:t>
      </w:r>
    </w:p>
    <w:p>
      <w:r>
        <w:rPr>
          <w:b/>
        </w:rPr>
        <w:t>E. 10</w:t>
      </w:r>
    </w:p>
    <w:p>
      <w:r>
        <w:t>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w:t>
      </w:r>
    </w:p>
    <w:p>
      <w:r>
        <w:t>A/3425/2012 - 10/13 -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 6B_22/2011 du 23 mai 2011 ; ATF non publié 6B_576/2010 du 25 janvier 2011 consid. 4.1.2 ; ATF non publié 6B_689/2010 et 6B_690/2010 du 25 octobre 2010 consid. 4.3.4).</w:t>
      </w:r>
    </w:p>
    <w:p>
      <w:r>
        <w:rPr>
          <w:b/>
        </w:rPr>
        <w:t>E. 11</w:t>
      </w:r>
    </w:p>
    <w:p>
      <w:r>
        <w:t>En l'espèce, la reprise du calcul ayant abouti à la décision de restitution est fondée sur le changement de la situation personnelle de la recourante, à savoir son mariage et la naissance d'un troisième enfant, changement ayant entraîné une modification de ses dépenses reconnues et revenus déterminants, et par conséquent de son droit aux prestations complémentaires. Cela étant, la recourante ne conteste pas les montants retenus par l'intimé, mais uniquement le bien-fondé de la créance de restitution dans son principe. A l'appui de son recours, elle expose que le délai de péremption d'une année a été atteint, qu'elle a respecté son obligation de renseigner et qu'il incombait à l'intimé, au courant de son mariage depuis le mois d'avril 2011, de procéder aux investigations nécessaires pour établir sa créance. Il convient dès lors de déterminer en premier lieu si la recourante a violé son devoir de renseigner l'intimé et, dans ce cas, si les conditions d'une restitution sont réalisées.</w:t>
      </w:r>
    </w:p>
    <w:p>
      <w:r>
        <w:rPr>
          <w:b/>
        </w:rPr>
        <w:t>E. 12</w:t>
      </w:r>
    </w:p>
    <w:p>
      <w:r>
        <w:t>La Cour de céans observe que, contrairement aux allégations de la recourante, cette dernière n'a pas spontanément informé l'intimé de tous les changements survenus dans sa situation personnelle. En effet, la recourante a fait état, dans son courrier du 10 décembre 2010, de l'éventualité de se marier avec le père de son enfant, alors que l'union avait déjà été célébrée à Damas en avril 2010 et qu'elle était sur le point d'être reconnue en Suisse. En outre, la Cour de céans relève que si le changement d'état civil a bien été porté à la connaissance de l'intimé le 5 avril 2011, la recourante n'a alors pas communiqué les modifications relatives à sa situation financière. Faute de pouvoir établir précisément les revenus déterminants de la recourante et donc de déterminer son droit aux prestations, l'intimé l'a priée de compléter son dossier, par courriers des 9 mai, 9 juin, 11 juillet, 13 octobre,</w:t>
      </w:r>
    </w:p>
    <w:p>
      <w:r>
        <w:rPr>
          <w:b/>
        </w:rPr>
        <w:t>E. 14</w:t>
      </w:r>
    </w:p>
    <w:p>
      <w:r>
        <w:t>La recourante déplore que l'intimé n'ait pas attiré son attention sur le fait que la situation de son époux pouvait avoir des conséquences sur son propre droit aux prestations et prétend avoir cru que les différentes décisions communiquées par l'intimé tenaient compte des changements de sa situation. La Cour de céans observe à cet égard qu'au vu des documents sollicités par l'intimé, soit notamment la déclaration de biens immobiliers de l'époux, son attestation de salaire ou encore sa déclaration fiscale, la recourante ne pouvait ignorer que la situation économique de son conjoint avait une incidence directe sur son droit aux prestations complémentaires. De surcroît, la simple lecture des décisions communiquées auparavant fait clairement apparaître que les calculs ne tenaient pas compte de la situation financière du couple.</w:t>
      </w:r>
    </w:p>
    <w:p>
      <w:r>
        <w:t>A/3425/2012 - 12/13 - L'intimé était donc légitimé à revenir sur ses décisions antérieures avec effet ex tunc et à réclamer à la recourante le montant indument perçu.</w:t>
      </w:r>
    </w:p>
    <w:p>
      <w:r>
        <w:rPr>
          <w:b/>
        </w:rPr>
        <w:t>E. 15</w:t>
      </w:r>
    </w:p>
    <w:p>
      <w:r>
        <w:t>Au vu de ce qui précède, le recours est rejeté. Pour le surplus, la procédure est gratuite (art. 61 let. a LPGA).</w:t>
      </w:r>
    </w:p>
    <w:p>
      <w:r>
        <w:t>A/3425/2012 - 13/13 -</w:t>
      </w:r>
    </w:p>
    <w:p>
      <w:r>
        <w:t>PAR CES MOTIFS, LA CHAMBRE DES ASSURANCES SOCIALES : Statuant A la forme : 1. Déclare le recours recevable. Au fond : 2. Le rejette. 3. Confirme la décision du 12 octobre 2012.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