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ATAS/637/2012 vom 14. Mai 2012</w:t>
      </w:r>
    </w:p>
    <w:p>
      <w:r>
        <w:t>GE Cour de justice, 2012-05-14, FR</w:t>
      </w:r>
    </w:p>
    <w:p>
      <w:r>
        <w:rPr>
          <w:b/>
        </w:rPr>
        <w:t xml:space="preserve">Quelle: </w:t>
      </w:r>
      <w:r>
        <w:t>https://mcp.opencaselaw.ch/entscheid/ge_gerichte_ATAS_637_2012</w:t>
      </w:r>
    </w:p>
    <w:p>
      <w:r>
        <w:t>FR: GE_GERICHTE ATAS/637/2012 du 14 mai 2012</w:t>
      </w:r>
    </w:p>
    <w:p>
      <w:r>
        <w:t>IT: GE_GERICHTE ATAS/637/2012 del 14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15 septembre 2011,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Le recours, interjeté dans les formes et délai prescrits par la loi, est recevable (art. 56 à 61 LPGA).</w:t>
      </w:r>
    </w:p>
    <w:p>
      <w:r>
        <w:rPr>
          <w:b/>
        </w:rPr>
        <w:t>E. 4</w:t>
      </w:r>
    </w:p>
    <w:p>
      <w:r>
        <w:t>La question litigieuse porte sur le droit du recourant à une rente d’invalidité, et singulièrement sur l’aggravation de son état de santé depuis la décision de l’OAI du 28 mai 2008, sur sa capacité de travail et son degré d’invalidité.</w:t>
      </w:r>
    </w:p>
    <w:p>
      <w:r>
        <w:rPr>
          <w:b/>
        </w:rPr>
        <w:t>E. 5</w:t>
      </w:r>
    </w:p>
    <w:p>
      <w:r>
        <w:t>a) D’après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w:t>
      </w:r>
    </w:p>
    <w:p>
      <w:r>
        <w:t>A/3243/2011 - 13/19 -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w:t>
      </w:r>
    </w:p>
    <w:p>
      <w:r>
        <w:t>A/3243/2011 - 14/19 -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b)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A/3243/2011 - 15/19 -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La décision de refus de prestations du 15 septembre 2011 est fondée sur l’expertise de la CRR du 20 avril 2011. Il en résulte les diagnostics suivants : un état dépressif de degré moyen en rémission partielle, une lombalgie chronique irradiant dans le membre inférieur gauche, des troubles vésico-sphinctériens postopératoires (hyperréflexie détrusorienne et hypo-éjaculation) et une arthroplastie L4-L5, diagnostics ayant tous une répercussion sur la capacité de travail. Il a également été retenu une discopathie dégénérative L5-S1, des « Cluster Headache » et un tabagisme.</w:t>
      </w:r>
    </w:p>
    <w:p>
      <w:r>
        <w:t>A/3243/2011 - 16/19 - Ce rapport a été établi suite à des examens rhumatologique, psychiatrique et neurologique, une évaluation des capacités fonctionnelles, une évaluation en atelier professionnel ainsi que sur la base d’une anamnèse médicale, socioprofessionnelle et familiale, sur le dossier médical et radiologique du recourant et sur ses plaintes. Certes les diagnostics ont été posés et les raisons pour lesquelles les différentes limitations fonctionnelles ont été retenues sont compréhensibles, toutefois, le rapport demeure peu motivé et imprécis. En effet, en ce qui concerne le volet psychiatrique, outre le fait que l’appréciation des constatations est quasi- inexistante, l’expert psychiatre relève que l’évolution depuis 2009 a été partiellement favorable et en déduit que l’épisode dépressif de degré moyen était en rémission partielle. Une telle déduction n’est toutefois pas convaincante, l’expert devant bien plutôt expliquer quels sont les éléments objectifs lui permettant de retenir une telle rémission. Il sera précisé à cet égard qu’à aucun moment, le psychiatre traitant du recourant n’a constaté la rémission de l’état dépressif moyen. D’un point de vue rhumatologique, la discussion est également pauvre, les motifs permettant de retenir une incapacité de travail de 30% dans une activité adaptée n’étant notamment pas explicités. En outre, il existe une contradiction dans le fait que l’expert rhumatologue retient tout d’abord que les troubles vésico-sphinctériens sont effectivement nouveaux depuis la fixation de l’exigibilité par le SMR en 2007, mais conclut finalement que seule l’atteinte à la santé psychique est nouvelle depuis 2007. Par ailleurs, comme le soutient à juste titre le recourant, tant l’expert psychiatre que l’expert rhumatologue ont retenu une capacité de travail de 50% dans une activité adaptée dès le mois de juin 2008, puis une amélioration de l’état de santé dès le 1er février 2010, sans aucune motivation. Les explications que le médecin du SMR tente de trouver, dans son rapport du 15 janvier 2012, ne font que confirmer que les experts n’en ont pas donné. On peut également se poser la question, comme le recourant, de savoir à quel rapport préliminaire et entretien de synthèse l’expert psychiatre fait référence. Si on peut imaginer que le rapport préliminaire a été établi par le Dr V___________, suite à l’examen du 21 février 2011, ce médecin ne fait pas référence, dans son rapport final du 20 avril 2011, à l’entretien de synthèse. Enfin, au vu des constatations qui précèdent, on peut également regretter que les médecins de la CRR n’aient pas contacté les médecins ayant suivi le recourant avant de rendre leur rapport, ce qui aurait peut-être permis d’apporter un éclairage concernant notamment le moment de l’aggravation et/ou de l’amélioration de l’état de santé du recourant. Eu égard à ces éléments, on peut valablement douter de la valeur probante du rapport d’expertise de la CRR, de sorte qu’on ne peut pas déterminer, en l’état, l’aggravation de l’état de santé du recourant depuis le 28 mai 2008, en se fondant sur ce rapport. b) Pour le surplus, les divers rapports des médecins du recourant ne sont pas suffisamment motivés pour permettre à la Cour de céans de statuer définitivement</w:t>
      </w:r>
    </w:p>
    <w:p>
      <w:r>
        <w:t>A/3243/2011 - 17/19 - sur son état de santé somatique et psychique et sur son incidence sur sa capacité de travail depuis le mois de mai 2008. Partant, dans la mesure où la cause n’est pas en l’état d’être jugée, la Cour de céans estime qu’il y a lieu de mettre en œuvre une expertise rhumato-psychiatrique, étant précisé que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 Ainsi, le soin de procéder à une expertise rhumatologique et psychiatrique est confié aux Drs LA___________, spécialiste en rhumatologie et LB___________ spécialiste FMH en psychiatrie, lesquels devront prendre tous les renseignements nécessaires auprès des médecins ayant examiné recourant par le passé et effectuer tout examen utile à l’appréciation de son état de santé. Eu égard notamment aux troubles urologiques et neurologiques du recourant, il sera précisé, à l’attention des experts, qu’il est laissé à leur appréciation si un examen urologique ou neurologique doit être conduit durant l’expertise ou si un entretien téléphonique avec les médecins du recourant et/ ou la lecture de leurs rapports sont suffisants pour établir l’éventuelle incidence de ces troubles sur la capacité de travail.</w:t>
      </w:r>
    </w:p>
    <w:p>
      <w:r>
        <w:t>A/3243/2011 - 18/19 - PAR CES MOTIFS, LA CHAMBRE DES ASSURANCES SOCIALES : statuant préparatoirement 1. Ordonne une expertise rhumato-psychiatrique, les experts ayant pour mission d’examiner et d’entendre l’assuré, après s’être entourés de tous les éléments utiles et après avoir pris connaissance du dossier de l’OAI, ainsi que du dossier de la présente procédure et pris tous les renseignements auprès des médecins ayant traité l’assuré. 2. Les invite à déterminer si un examen urologique ou neurologique doit être effectué et dans l'affirmative, à s'adjoindre le concours d'un spécialiste. 3. Charge les experts d’établir un rapport détaillé et de répondre aux questions suivantes : a. Quelle est l’anamnèse détaillée du cas ? b. Quelles sont les plaintes de l’assuré ? c. Quelles sont vos constatations objectives ? d. Quels diagnostics somatique(s) et psychiatrique(s) retenez-vous ? Depuis quand ? e. En cas de troubles psychiatriques, quel est le degré de gravité de chacun de ceux-ci (faible, moyen, grave) ? f. Quelle est l’évolution de l'état de santé de l'assuré, en particulier entre le mois de mai 2008 et le mois de septembre 2010 ? Y a-t-il eu une aggravation de mai 2008 à septembre 2010 ? g. Quelles sont les conséquences de chaque diagnostic posé sur la capacité de travail de l’assuré, en pour-cent, dans sa profession habituelle de spécialiste administratif ? h. Quelles sont les limitations fonctionnelles engendrées par les différents troubles constatés ? Les réponses aux questions suivantes devront être données après un consilium entre les experts : i. Quelle est votre position s'agissant des constatations et des conclusions des médecins de la CRR ?</w:t>
      </w:r>
    </w:p>
    <w:p>
      <w:r>
        <w:t>A/3243/2011 - 19/19 - j. Dans quelle mesure et à quel taux l’assuré peut-il exercer son activité habituelle ? Le taux a-t-il évolué ? Si oui, comment et quand ? Y a-t-il une diminution de rendement ? Si oui, de quelle ampleur ? k. Dans quelle mesure une activité lucrative adaptée est-elle raisonnablement exigible de l’assuré et à quel taux ? Dans ce cas, dans quel domaine et depuis quelle date ? Quelle a été l’évolution de la capacité de travail ? Y a-t-il une diminution de rendement ? Si oui, de quelle ampleur ? l. La capacité de travail peut-elle être améliorée par des mesures médicales ou par une adaptation du poste de travail ? Quelle en serait l’influence sur le taux de la capacité de travail ? m. Des mesures de réadaptation sont-elles envisageables et utiles ? Avec quelles chances de succès selon vous ? n. Quel est votre pronostic ? o. Faire toute remarque ou suggestion utile. 4. Commet à ces fins les Drs LA___________ et LB___________; 5. Invite les experts à déposer à leur meilleure convenance un rapport en trois exemplaires à la Cour de céans ; 6. Réserve le fond.</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