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ATAS/636/2025 vom 14. August 2025</w:t>
      </w:r>
    </w:p>
    <w:p>
      <w:r>
        <w:t>GE Cour de justice, 2025-08-14, FR</w:t>
      </w:r>
    </w:p>
    <w:p>
      <w:r>
        <w:rPr>
          <w:b/>
        </w:rPr>
        <w:t xml:space="preserve">Quelle: </w:t>
      </w:r>
      <w:r>
        <w:t>https://mcp.opencaselaw.ch/entscheid/ge_gerichte_ATAS_636_2025</w:t>
      </w:r>
    </w:p>
    <w:p>
      <w:r>
        <w:t>FR: GE_GERICHTE ATAS/636/2025 du 14 août 2025</w:t>
      </w:r>
    </w:p>
    <w:p>
      <w:r>
        <w:t>IT: GE_GERICHTE ATAS/636/2025 del 14 agosto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30 jours (art. 56 et 60 al. 1 LPGA) prévus par la loi, le recours est recevable.</w:t>
      </w:r>
    </w:p>
    <w:p>
      <w:r>
        <w:rPr>
          <w:b/>
        </w:rPr>
        <w:t>E. 2</w:t>
      </w:r>
    </w:p>
    <w:p>
      <w:r>
        <w:t>Le litige porte sur le droit du recourant à une rente d'invalidité, en particulier sur la question de savoir si son état de santé s'est aggravé depuis la décision rendue par l'intimé le 25 février 2010.</w:t>
      </w:r>
    </w:p>
    <w:p>
      <w:r>
        <w:rPr>
          <w:b/>
        </w:rPr>
        <w:t>E. 3.1</w:t>
      </w:r>
    </w:p>
    <w:p>
      <w:r>
        <w:t>À teneur de l'art. 1 al. 1 LAI, les dispositions de la LPGA s'appliquent à l'assurance-invalidité (ci-après : AI), à moins que la loi n'y déroge expressément.</w:t>
      </w:r>
    </w:p>
    <w:p>
      <w:r>
        <w:rPr>
          <w:b/>
        </w:rPr>
        <w:t>E. 3.2</w:t>
      </w:r>
    </w:p>
    <w:p>
      <w:r>
        <w:t>Le 1er janvier 2022, les modifications de la LAI du 19 juin 2020 (développement continu de l’AI ; RO 2021 705), y compris les ordonnances correspondantes, sont entrées en vigueur. Dans le cadre de cette révision, l'art. 17 LPGA a notamment été adapté.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w:t>
      </w:r>
    </w:p>
    <w:p>
      <w:r>
        <w:t>A/3573/2024 - 9/28 - à partir du 1er janvier 2022 sont applicables. La date pertinente de la modification est déterminée par l'art. 88a RAI (arrêts du Tribunal fédéral 8C_55/2023 du 11 juillet 2023 consid. 2.2 ; 8C_644/2022 du 8 février 2023 consid. 2.2.3).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(cf. arrêt du Tribunal fédéral 9C _499/2022 du 29 juin 2023 consid. 4.1).</w:t>
      </w:r>
    </w:p>
    <w:p>
      <w:r>
        <w:rPr>
          <w:b/>
        </w:rPr>
        <w:t>E. 3.3</w:t>
      </w:r>
    </w:p>
    <w:p>
      <w:r>
        <w:t>En l'occurrence, le litige porte sur l'éventuel droit du recourant à une rente d'invalidité pour la période postérieure à février 2010. Une telle rente naîtrait au plus tôt en 2011 (cf. art. 28 al. 1 LAI), de sorte que les dispositions applicables seront citées dans leur teneur en vigueur jusqu'au 31 décembre 2021.</w:t>
      </w:r>
    </w:p>
    <w:p>
      <w:r>
        <w:rPr>
          <w:b/>
        </w:rPr>
        <w:t>E. 4.1.1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A/3573/2024 - 10/28 -</w:t>
      </w:r>
    </w:p>
    <w:p>
      <w:r>
        <w:rPr>
          <w:b/>
        </w:rPr>
        <w:t>E. 4.1.2</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4.1.3</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4.2.1</w:t>
      </w:r>
    </w:p>
    <w:p>
      <w:r>
        <w:t>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125 V 412 consid. 2b et 117 V 198 consid. 4b ainsi que les références).</w:t>
      </w:r>
    </w:p>
    <w:p>
      <w:r>
        <w:rPr>
          <w:b/>
        </w:rPr>
        <w:t>E. 4.2.2</w:t>
      </w:r>
    </w:p>
    <w:p>
      <w:r>
        <w:t>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w:t>
      </w:r>
    </w:p>
    <w:p>
      <w:r>
        <w:rPr>
          <w:b/>
        </w:rPr>
        <w:t>E. 4.3</w:t>
      </w:r>
    </w:p>
    <w:p>
      <w:r>
        <w:t>En l'espèce, l'intimé a repris l'instruction de la cause suite au renvoi de celle-ci par arrêt du Tribunal fédéral du 9 février 2017 (9C_286/2016). À l’issue de ladite instruction, il a considéré que l'état de santé du recourant, respectivement son incidence sur sa capacité de gain, ne s'étaient pas aggravés depuis la décision du 25 février 2010 au point d’influencer le degré d'invalidité et d’ouvrir droit aux prestations.</w:t>
      </w:r>
    </w:p>
    <w:p>
      <w:r>
        <w:rPr>
          <w:b/>
        </w:rPr>
        <w:t>E. 5</w:t>
      </w:r>
    </w:p>
    <w:p>
      <w:r>
        <w:t>A/3573/2024 - 11/28 -</w:t>
      </w:r>
    </w:p>
    <w:p>
      <w:r>
        <w:rPr>
          <w:b/>
        </w:rPr>
        <w:t>E. 5.1</w:t>
      </w:r>
    </w:p>
    <w:p>
      <w:r>
        <w:t>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w:t>
      </w:r>
    </w:p>
    <w:p>
      <w:r>
        <w:rPr>
          <w:b/>
        </w:rPr>
        <w:t>E. 5.2</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 130 V 343 consid. 3.5.2 ; arrêt du Tribunal fédéral 9C_685/2011 du 6 mars 2012 consid. 5.1). Si l'administration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w:t>
      </w:r>
    </w:p>
    <w:p>
      <w:r>
        <w:t>A/3573/2024 - 12/28 - nouvelle demande. Dans le cas contraire, elle est tenue d'examiner s'il y a désormais lieu de reconnaître un taux d'invalidité ouvrant le droit à une prestation ou augmentant celle-ci. En cas de recours, le même devoir d'examen matériel incombe au juge (ATF 117 V 198 consid. 3a et 109 V 114 consid. 2a et b; arrêt du Tribunal fédéral 9C_721/2014 du 16 juin 2015 consid. 3.1).</w:t>
      </w:r>
    </w:p>
    <w:p>
      <w:r>
        <w:rPr>
          <w:b/>
        </w:rPr>
        <w:t>E. 5.3</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rPr>
          <w:b/>
        </w:rPr>
        <w:t>E. 5.4</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À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w:t>
      </w:r>
    </w:p>
    <w:p>
      <w:r>
        <w:rPr>
          <w:b/>
        </w:rPr>
        <w:t>E. 5.5</w:t>
      </w:r>
    </w:p>
    <w:p>
      <w:r>
        <w:t>Selon la jurisprudence,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consid. 5.2.2). Il y a ainsi lieu de conclure à</w:t>
      </w:r>
    </w:p>
    <w:p>
      <w:r>
        <w:t>A/3573/2024 - 13/28 -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arrêt du Tribunal fédéral 9C_16/2016 du 14 juin 2016 consid. 3.2). À lui seul, un simple comportement ostensible ne permet pas de conclure à une exagération (ATF 141 V 281 consid. 2.2.1 et la référence).</w:t>
      </w:r>
    </w:p>
    <w:p>
      <w:r>
        <w:rPr>
          <w:b/>
        </w:rPr>
        <w:t>E. 5.6</w:t>
      </w:r>
    </w:p>
    <w:p>
      <w:r>
        <w:t>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(cf.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 résister à l’examen sous l’angle de la catégorie « cohérence ». Ces indicateurs comportent une analyse du complexe « atteinte à la santé », lequel comprend la prise en considération des éléments pertinents pour le diagnostic, du succès ou de l’échec d’un traitement effectué dans les règles de l’art, du succès ou de l’échec d’une éventuelle réadaptation, et enfin de l’existence d’une éventuelle comorbidité physique ou psychique. Il s’agit également d’effectuer une analyse du complexe « personnalité », soit un diagnostic de la personnalité de l’assuré et de ses ressources personnelles, et du complexe « contexte social » (ATF 141 V 281 consid. 4.3 et les références).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w:t>
      </w:r>
    </w:p>
    <w:p>
      <w:r>
        <w:t>A/3573/2024 - 14/28 - compte le comportement de la personne assurée dans le cadre de sa réadaptation professionnelle (cf. ATF 141 V 281 consid. 4.4 et les références).</w:t>
      </w:r>
    </w:p>
    <w:p>
      <w:r>
        <w:rPr>
          <w:b/>
        </w:rPr>
        <w:t>E. 5.7</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6.1</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 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w:t>
      </w:r>
    </w:p>
    <w:p>
      <w:r>
        <w:t>A/3573/2024 - 15/28 -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6.2</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7</w:t>
      </w:r>
    </w:p>
    <w:p>
      <w:r>
        <w:t>En ce qui concerne les facteurs psychosociaux ou socioculturels et leur rôle en matière d'invalidité, ils ne figurent pas au nombre des atteintes à la santé susceptibles d'entraîner une incapacité de gain au sens de l'art. 4 al. 1 LAI. Pour</w:t>
      </w:r>
    </w:p>
    <w:p>
      <w:r>
        <w:t>A/3573/2024 - 16/28 -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8.1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w:t>
      </w:r>
    </w:p>
    <w:p>
      <w:r>
        <w:t>A/3573/2024 - 17/28 - le juge ne saurait les écarter aussi longtemps qu'aucun indice concret ne permet de douter de leur bien-fondé (ATF 135 V 465 consid. 4.4 et les références ; 125 V 351 consid. 3b/bb).</w:t>
      </w:r>
    </w:p>
    <w:p>
      <w:r>
        <w:rPr>
          <w:b/>
        </w:rPr>
        <w:t>E. 8.2</w:t>
      </w:r>
    </w:p>
    <w:p>
      <w:r>
        <w:t>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arrêts du Tribunal fédéral 9C_808/2019 du 18 août 2020 consid. 5.2 et 9C_109/2018 du 15 juin 2018 consid. 5.1).</w:t>
      </w:r>
    </w:p>
    <w:p>
      <w:r>
        <w:rPr>
          <w:b/>
        </w:rPr>
        <w:t>E. 8.3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8.4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w:t>
      </w:r>
    </w:p>
    <w:p>
      <w:r>
        <w:t>A/3573/2024 - 18/28 - par conséquent, la violation du principe mentionné (arrêt du Tribunal fédéral 9C_973/2011 du 4 mai 2012 consid. 3.2.1).</w:t>
      </w:r>
    </w:p>
    <w:p>
      <w:r>
        <w:rPr>
          <w:b/>
        </w:rPr>
        <w:t>E. 8.5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Les médecins peuvent évaluer la capacité de travail d’une personne assurée sur une période remontant à plusieurs années dans le passé, par une appréciation rétrospective de la situation à l'aide des données du dossier et de l'examen de la personne concernée (arrêt du Tribunal fédéral 9C_80/2024 du 27 août 2024 consid. 5.1 et la référence).</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139 V 176 consid. 5.3).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w:t>
      </w:r>
    </w:p>
    <w:p>
      <w:r>
        <w:t>A/3573/2024 - 19/28 - jurisprudence rendue sous l’empire de l’art. 4 aCst. étant toujours valable (ATF 124 V 90 consid. 4b ; 122 V 157 consid. 1d).</w:t>
      </w:r>
    </w:p>
    <w:p>
      <w:r>
        <w:rPr>
          <w:b/>
        </w:rPr>
        <w:t>E. 11.1</w:t>
      </w:r>
    </w:p>
    <w:p>
      <w:r>
        <w:t>En l'espèce, sur le plan somatique, la Cour de céans a considéré, dans son arrêt ATAS/989/2020 du 22 octobre 2020, que le volet rhumatologique de l'expertise bidisciplinaire du 26 juin 2018, réalisé par le Dr H______, pouvait se voir reconnaître pleine valeur probante. Pour rappel, cet expert a retenu, à titre de diagnostics ayant une incidence sur la capacité de travail, un syndrome cervicobrachial récurrent, sans signe radiculaire irritatif ou déficitaire, et un syndrome dorso-lombaire sans signe radiculaire irritatif ou déficitaire. La diminution des capacités fonctionnelles dues à la santé résidait essentiellement dans le vécu douloureux devenu chronique, surtout aux niveaux du rachis et du genou droit, et l'impotence fonctionnelle que l'assuré décrivait dans ses activités de la vie quotidienne. Les limitations fonctionnelles concernaient le port de charges en porte-à-faux avec longs bras de levier de plus de 10 à 15 kg et la nécessité d'alterner les positions assise et debout. Il est établi, au degré de la vraisemblance prépondérante que, d'un point de vue somatique, en particulier rhumatologique, il n'y a pas eu de modification sensible de l'état de santé du recourant depuis la décision du 25 février 2010 (cf. ATAS/989/2020 du 22 octobre 2020 consid. 11). Du point de vue psychiatrique, la décision litigieuse du 24 septembre 2024 se fonde sur l'avis du SMR du 1er juillet 2024, se ralliant aux conclusions du rapport d'expertise psychiatrique du 27 juin 2024. Ce rapport repose sur les pièces médicales du dossier, les plaintes du recourant, l'anamnèse, l'examen clinique et les constatations objectives, ainsi que l'évaluation circonstanciée du cas. L'expert n'a retenu aucun diagnostic avec répercussion sur la capacité de travail. Il a précisé que le trouble anxieux et dépressif mixte (code F41.2 CIM-10) présent depuis mai 2018 et le trouble somatoforme indifférencié (code F45.1 CIM-10) existant depuis mai 2015 étaient non invalidants (cf. rapport d'expertise du Dr J______ du 27 juin 2024, p. 25). Il convient de déterminer s’il existe des éléments objectivement vérifiables qui auraient été omis par l'expert ou des indices concrets permettant de douter du bien-fondé de ses conclusions.</w:t>
      </w:r>
    </w:p>
    <w:p>
      <w:r>
        <w:rPr>
          <w:b/>
        </w:rPr>
        <w:t>E. 11.2</w:t>
      </w:r>
    </w:p>
    <w:p>
      <w:r>
        <w:t>Compte tenu des atteintes psychiques retenues par l'expert, il s'agit d'examiner leur éventuel caractère incapacitant selon les indicateurs jurisprudentiels. S'agissant de la catégorie « degré de gravité fonctionnelle », l'expert a indiqué que les affections psychiatriques actuelles étaient légères et n'interféraient pas avec l'aptitude au travail du recourant. En particulier, son fonctionnement au quotidien</w:t>
      </w:r>
    </w:p>
    <w:p>
      <w:r>
        <w:t>A/3573/2024 - 20/28 - était sans particularité, si ce n'est que ses activités étaient relativement réduites en raison d'un désœuvrement, d'une personnalité fruste en lien avec un fonctionnement intellectuel limite, un manque d'instruction, un manque d'intérêt intellectuel et de moyens financiers (cf. rapport d'expertise du Dr J______ du 27 juin 2024, p. 24). Sous l'angle de la cohérence, l'expert a relevé l'absence d'incohérence entre les symptômes dont avait fait part le recourant et ce qui était cliniquement observé, précisant que le recourant avait affirmé se sentir apte à exercer une activité légère (cf. rapport d'expertise du Dr J______ du 27 juin 2024, p. 25). S'agissant du « succès du traitement et de la réadaptation », l'expert a souligné que les affections psychiatriques actuelles, plus particulièrement le trouble anxieux et dépressif mixte (code F41.2 CIM-10), ne justifiaient pas nécessairement une prise en charge spécialisée par un médecin psychiatre, dès lors que leur intensité était réduite et qu'elles pouvaient être gérées par un médecin de premier recours, en l’occurrence, le Dr E______. Cela était d'ailleurs corroboré par le fait que le médecin traitant n'avait fait aucune proposition dans le sens d'un suivi psychiatrique et que le recourant n'en voyait pas l'utilité (cf. rapport d'expertise du Dr J______ du 27 juin 2024, p. 25). S’agissant des « comorbidités », l'expert n'a pas mis en évidence de maladie psychiatrique concomitante. S’agissant du complexe de « la personnalité », l'expert a indiqué que le recourant ne souffrait pas d'un trouble de la personnalité, puisqu’il avait fonctionné de manière satisfaisante depuis toujours sur les plans professionnel, familial et social et qu'il ne présentait pas de traits de personnalité pathologique accentués. Cela étant, l'intéressé était une personne fruste, non instruite et limitée sur le plan du fonctionnement intellectuel – avec une intelligence située dans la norme inférieure – et de sa curiosité intellectuelle (cf. rapport d'expertise du Dr J______ du 27 juin 2024, p. 24). En ce qui concerne le « contexte social », l'expert a noté que le recourant vivait avec son épouse et que sa situation de couple ne s'était pas détériorée, malgré l'existence de disputes. Il était bien soutenu par ses enfants, avec lesquels il avait contact régulièrement (tous les jours avec sa fille, presque toutes les semaines avec ses fils) et, de manière moins fréquente, mais régulière, avec ses sœurs, ses amis et ses connaissances (une à trois fois par mois). Il s'était par ailleurs rendu en vacances au Portugal fin 2023 avec son épouse, chez ses sœurs (cf. rapport d'expertise du Dr J______ du 27 juin 2024, p. 22 et 24). Le recourant n'était donc pas isolé et son contexte amical et familial lui procurait des ressources mobilisables. L'expert psychiatre a ajouté que le recourant exprimait le souhait d’exercer une activité légère et se sentait apte à reprendre un tel emploi, ce qui faisait également partie de ses ressources (cf. rapport d'expertise du Dr J______ du 27 juin 2024, p. 24).</w:t>
      </w:r>
    </w:p>
    <w:p>
      <w:r>
        <w:t>A/3573/2024 - 21/28 - L'expert psychiatre a ensuite indiqué les raisons pour lesquelles il s'était écarté des diagnostics retenus par les autres médecins ayant examiné le recourant. S'agissant du diagnostic de trouble anxieux et dépressif mixte (code F41.2 CIM-10), il a relevé que le recourant n'avait jamais fait l'objet d'un suivi psychiatrique ou psychologique et que les consultations effectuées auprès de la Dre C______ et de sa collaboratrice (entre une et trois consultations) avaient eu lieu à la demande de son avocat, qui avait sollicité un rapport médical psychiatrique. Ce trouble anxieux et dépressif mixte était réduit dans son intensité et n'était pas à l'origine de limitations fonctionnelles psychiques. En particulier, il n'y avait diminution ni de l'énergie, ni de l'élan vital et pas d'abattement. La journée-type était relativement structurée, rythmée par la prise des repas, les soins corporels quotidiens, des allers-retours entre l'extérieur (promenades et magasins) et le domicile (télévision), sans que le recourant ne reste, pendant des périodes prolongées de la journée, couché sur le canapé ou le lit, totalement inactif. Sa femme s'occupait des tâches ménagères depuis qu'elle était à la retraite ; le recourant n'était en réalité pas dans l'incapacité de s'en occuper. Son champ d’activité était réduit parce qu'il était désœuvré, non en raison d'une inhibition dépressive. L'expert a également relevé l'absence d'aboulie, de ralentissement idéique ou moteur, une labilité émotionnelle légère (trois épisodes de larmes aux yeux selon le sujet abordé durant l'entretien d'expertise), ainsi qu'une vigilance, une attention et une concentration sans particularité. Les éléments dépressifs étaient accompagnés d'une anxiété intermittente avec, par moments, des palpitations, des maux de tête, une vision trouble, une difficulté respiratoire et une sécheresse buccale, qui n'avait pas été constatée lors de l'examen clinique (cf. rapport d'expertise du Dr J______ du 27 juin 2024, pp. 29-30). L'expert a par ailleurs écarté le diagnostic d'épisode dépressif sévère sans symptômes psychotiques (code F32.2 CIM-10) retenu par la Dre C______ dans son rapport du 12 juin 2014, en raison de l'intrication des symptômes de dépression et d'anxiété, dont il a expliqué qu’ils faisaient partie intégrante du diagnostic de trouble anxieux et dépressif mixte. En particulier, la présence d'un épisode dépressif sévère sans symptômes psychotiques par le passé n'était pas crédible, vu l'absence de prescription de médicament antidépresseur – alors même que le recourant n'y était pas opposé par principe – et l'absence d'un suivi par un médecin psychiatre ou un psychologue. Il ressortait en outre du rapport susvisé que les constatations objectives de cette spécialiste se mélangeaient avec les propos rapportés par le recourant, de sorte que les critères spécifiques du diagnostic n'étaient pas remplis. À l’instar de l’expert, la Cour de céans constate que sous le titre « status psychiatriques », la Dre C______ a procédé, à la fois à une description clinique (en décrivant un assuré « ralenti, présentant un facies anxieux, [avait] du mal à s'exprimer en français, pleurs durant les entretiens » et sans « élément de la lignée psychotique ») et à l'énumération des plaintes de l'intéressé (ce dernier avait « décrit un fort sentiment de culpabilité, pense que la</w:t>
      </w:r>
    </w:p>
    <w:p>
      <w:r>
        <w:t>A/3573/2024 - 22/28 - vie ne vaut pas la peine d'être vécue, sans toutefois avoir des idées suicidaires, il se plaint de grosses difficultés à l'endormissement […]. Il se réveille plusieurs fois la nuit et se réveille précocement le matin. Il a beaucoup de peine à se motiver pour accomplir les tâches de la vie quotidienne. Il décrit des troubles de la concentration, une perte d'appétit, une perte d'énergie et de la libido. Les symptômes dépressifs sont plus marqués le soir. Il a également beaucoup de ruminations, une anxiété importante et une grande préoccupation pour son état de santé. Il se sent totalement inutile ») (cf. rapport de la Dre C______ du</w:t>
      </w:r>
    </w:p>
    <w:p>
      <w:r>
        <w:rPr>
          <w:b/>
        </w:rPr>
        <w:t>E. 11.3</w:t>
      </w:r>
    </w:p>
    <w:p>
      <w:r>
        <w:t>Au vu des éléments qui précèdent, il apparaît que les diagnostics de trouble anxieux et dépressif mixte et de trouble somatoforme indifférencié, qualifiés de non invalidants par l'expert, ont été dûment motivés. Qui plus est, le recourant n'a invoqué aucun élément objectif précis justifiant, d'un point de vue médical, de s'en écarter. 12. Il convient à présent de vérifier si les griefs formulés par le recourant sont susceptibles de remettre en cause les conclusions de l'expertise susvisée.</w:t>
      </w:r>
    </w:p>
    <w:p>
      <w:r>
        <w:rPr>
          <w:b/>
        </w:rPr>
        <w:t>E. 12</w:t>
      </w:r>
    </w:p>
    <w:p>
      <w:r>
        <w:t>juin 2014, p. 2). Dans ces conditions, il s’avère que le diagnostic d'épisode dépressif sévère sans symptômes psychotiques n'a effectivement pas été motivé correctement par la Dre C______ dans son rapport du 12 juin 2014 et qu'il a été écarté de façon convaincante par l'expert J______. L'expert J______ a aussi écarté de manière dûment motivée les diagnostics d'accentuation de certains traits de personnalité (code Z73.1 CIM-10 ; cf. p. 27 du rapport d'expertise), de personnalité émotionnellement labile (code F60.3 CIM-10; cf. p. 28 du rapport d'expertise), de personnalité anxieuse évitante (code F60.6 CIM-10 ; cf. p. 28 du rapport d'expertise), d'anxiété généralisée (code F41.1 CIM-10 ; cf. p. 30 du rapport d'expertise), de trouble dissociatif [de conversion] avec présentation mixte (code F44.7 CIM-10 ; cf. p. 31 du rapport d'expertise) et de dépendance aux anxiolytiques (code F13.2 CIM-10 ; cf. p. 34 de l'expertise). Concernant le diagnostic de trouble somatoforme indifférencié (code F45.1 CIM-10) retenu par l'expert, ce dernier a tout d'abord exclu le diagnostic de syndrome douloureux somatoforme persistant (code F45.4 CIM-10), retenu par les Drs D______ (rapport d'expertise du 6 juillet 2015), I______ (rapport du 7 mai 2021), C______ (prise de position du 15 octobre 2015) et K______ (rapport d'expertise du 14 mai 2012), au motif que les critères d'un tel diagnostic étaient insuffisamment vérifiés. L'expert J______ a rappelé que, selon la CIM-10, le syndrome douloureux somatoforme persistant est défini comme une plainte essentielle concernant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des médecins. L'expert a relevé qu’en l’occurrence, les douleurs ressenties ne pouvaient être qualifiées d'intenses, dès lors que l'intéressé n'avait pas présenté de comportement algique lors de l'examen clinique et que son quotidien n'était pas organisé en fonctions de ses douleurs. En outre, le recourant ne présentait pas de sentiments de détresse en rapport avec les douleurs, mais plutôt en lien avec sa situation socio-économique et son avenir (cf. rapport d'expertise du Dr J______ du 27 juin 2024, p. 33). Par ailleurs, dans son rapport d'expertise rhumatologique du</w:t>
      </w:r>
    </w:p>
    <w:p>
      <w:r>
        <w:rPr>
          <w:b/>
        </w:rPr>
        <w:t>E. 12.1</w:t>
      </w:r>
    </w:p>
    <w:p>
      <w:r>
        <w:t>Dans un premier grief, le recourant reproche à l'expert psychiatre de n'avoir procédé qu'à un seul examen clinique, sans recourir à un bilan neuropsychologique, ni à des tests psychométriques et, s'agissant de l'évaluation du trouble somatoforme en particulier, de ne pas avoir ordonné d'examen auprès du Centre de la douleur (cf. mémoire de recours du 28 octobre 2024, p. 12).</w:t>
      </w:r>
    </w:p>
    <w:p>
      <w:r>
        <w:rPr>
          <w:b/>
        </w:rPr>
        <w:t>E. 12.1.1</w:t>
      </w:r>
    </w:p>
    <w:p>
      <w:r>
        <w:t>Selon la jurisprudence fédérale, la conduite de l'expertise (modalités de l'examen clinique et choix des examens complémentaires) est laissée au libre arbitre de l'expert dans les limites du mandat confié (cf. arrêt 9C_538/2009 du 8 janvier 2010 consid. 3.3).</w:t>
      </w:r>
    </w:p>
    <w:p>
      <w:r>
        <w:t>A/3573/2024 - 25/28 - Il appartient aux médecins auxquels un mandat d'expertise a été confié – et non à la personne soumise à l'expertise – de choisir quels examens ils entendent pratiquer pour exécuter leur mission d'expertise (cf. arrêt du Tribunal fédéral 9C_410/2019 du 18 mai 2020 consid. 6.2). Une évaluation neuropsychologique ne constitue qu'un examen complémentaire qui doit être envisagé lorsque l'indication est justifiée (cf. arrêts 9C_566/2017 du 20 novembre 2017, consid. 2.1 et 9C_338/2016 du 21 février 2017, consid. 5.4 ; avec référence au ch. 4.3.2.2 des directives de qualité pour les expertises psychiatriques dans l'assurance-invalidité fédérale de la Société suisse de psychiatrie et de psychothérapie [SSPP] 2016).</w:t>
      </w:r>
    </w:p>
    <w:p>
      <w:r>
        <w:rPr>
          <w:b/>
        </w:rPr>
        <w:t>E. 12.1.2</w:t>
      </w:r>
    </w:p>
    <w:p>
      <w:r>
        <w:t>En l'occurrence, l'expert J______ ayant été mandaté par l'intimé pour procéder à l'expertise psychiatrique du recourant, il lui appartenait de choisir librement la conduite de celle-ci et, en particulier, de déterminer l'opportunité de mettre en œuvre d'éventuels examens complémentaires. La Cour de céans relèvera notamment que la nécessité de mettre en œuvre un nouveau test neuropsychologique, telle qu'invoquée par le recourant au motif que le dernier bilan avait été effectué le 15 juillet 2015, soit il y a près de dix ans, n'apparaît pas fondée au vu des éléments du dossier. Il ressort en effet du rapport de Monsieur L______ du 15 juillet 2015, auquel se réfère le recourant, que l'examen neuropsychologique d'une personne aussi faiblement scolarisée que ce dernier et non francophone, limitait singulièrement la validité des données psychométriques. Le recourant n'ayant effectué que trois années scolaires, il ne disposait pas de normes établies sur des groupes de personnes aussi faiblement scolarisées et que les tests avaient été normés sur des populations suisses, françaises, allemandes ou états-uniennes et non pas sur des populations lusophones. Même pour les sous-tests non verbaux de l'échelle d'intelligence pour adultes selon Wechsler (WAIS-IV), la validité des scores standard était limitée chez une personne de culture portugaise, de surcroît illettrée. En raison de ces limitations, l'interprétation clinique des résultats prévalait sur leur lecture strictement psychométrique (cf. rapport du neuropsychologue du 15 juillet 2015, p. 1 et 2). À ce propos, le Tribunal fédéral a retenu que, dans le cas du recourant, l'interprétation clinique des résultats avait nécessairement prévalu sur leur lecture strictement psychométrique (cf. arrêt du Tribunal fédéral 9C_286/2016 du 9 février 2017 consid. 6.3). Par ailleurs, s'agissant de la méthodologie utilisée par l'expert psychiatre, la Cour de céans constate que ce dernier a fondé les diagnostics retenus sur les critères d'un système de classification reconnu, à savoir la Classification statistique internationale des maladies et des problèmes de santé connexes de l'OMS (10ème édition [CIM-10] ; cf. ATF 130 V 396). Surtout, il apparaît que l'expert a pris connaissance de l'ensemble du dossier, qu'il a interrogé le recourant de</w:t>
      </w:r>
    </w:p>
    <w:p>
      <w:r>
        <w:t>A/3573/2024 - 26/28 - manière approfondie, qu'il a procédé à son examen clinique et que ses conclusions sont motivées et convaincantes.</w:t>
      </w:r>
    </w:p>
    <w:p>
      <w:r>
        <w:rPr>
          <w:b/>
        </w:rPr>
        <w:t>E. 12.1.3</w:t>
      </w:r>
    </w:p>
    <w:p>
      <w:r>
        <w:t>Par conséquent, compte tenu de la large autonomie dont jouit l'expert dans la manière de conduire son expertise – s'agissant notamment du choix des examens complémentaires à effectuer – l'absence de mise en œuvre de test neuropsychologique et d'examen complémentaire auprès du centre de la douleur ne constitue pas une raison suffisante pour dénier toute force probante à l'expertise psychiatrique du Dr J______, étant au surplus relevé que le juge doit faire preuve en règle générale de retenue avant de remettre en cause la méthodologie utilisée et qu'il convient de tenir compte également des difficultés et des incertitudes propres à tout examen psychiatrique (cf. arrêt du Tribunal fédéral 9C_732/2012 du 26 novembre 2012 consid. 4.2 et les références). Ce premier grief tombe donc à faux.</w:t>
      </w:r>
    </w:p>
    <w:p>
      <w:r>
        <w:rPr>
          <w:b/>
        </w:rPr>
        <w:t>E. 12.2</w:t>
      </w:r>
    </w:p>
    <w:p>
      <w:r>
        <w:t>Dans un second grief, le recourant invoque un défaut de motivation s'agissant de l'intensité légère des troubles retenus par l'expert psychiatre. Il ressort toutefois du rapport d'expertise du Dr J______ que le recourant ne présentait pas de diminution de l'énergie et que ses journées étaient relativement structurées, rythmées par la prise de repas. En outre, l'intéressé prenait soin de lui (douche) tous les jours, effectuait des allers-retours entre l'extérieur (promenades, magasins) et son domicile (télévision) et ne restait pas totalement inactif durant des périodes prolongées de la journée. Il n'y avait pas d'aboulie et la labilité émotionnelle était légère (trois épisodes de larmes aux yeux selon les sujets abordés, mais la plupart du temps souriant). La vigilance, l'attention et la concentration étaient sans particularité et les troubles de la mémoire mis en évidence par le rapport neuropsychologique du 15 juillet 2015 n'étaient pas significatifs en termes d'aptitude au travail. Il n'y avait pas de ralentissement idéique ou moteur et les éléments dépressifs étaient accompagnés d'une anxiété intermittente. L'expert a en outre précisé que si le recourant ne s'occupait pas des tâches ménagères (le ménage, la lessive, le repassage et la cuisine) ou des tâches administratives, cela était dû au fait que son épouse s'en chargeait, non à une incapacité de sa part. Il accompagnait son épouse pour les courses. Quant au champ d'activité réduit, il s'expliquait par le fait que l'intéressé était désœuvré, non par une inhibition dépressive (cf. rapport d'expertise du Dr J______ du 27 juin 2024, p. 22, 29 et 30). L'expert psychiatre a également relevé que le recourant n'avait jamais été hospitalisé en milieu psychiatrique (cf. rapport d'expertise du Dr J______ du 27 juin 2024, p. 20) et n'avait pas bénéficié de suivi psychiatrique par un médecin spécialiste à ce jour, le traitement médicamenteux étant prescrit par son médecin traitant qui n'aurait pas fait de proposition pour une prise en charge par un médecin psychiatre (cf. rapport d'expertise du Dr J______ du 27 juin 2024, p. 25).</w:t>
      </w:r>
    </w:p>
    <w:p>
      <w:r>
        <w:t>A/3573/2024 - 27/28 -</w:t>
      </w:r>
    </w:p>
    <w:p>
      <w:r>
        <w:rPr>
          <w:b/>
        </w:rPr>
        <w:t>E. 12.3</w:t>
      </w:r>
    </w:p>
    <w:p>
      <w:r>
        <w:t>Au vu de la motivation contenue dans le rapport d'expertise du Dr J______, en particulier de la description de la journée-type, des activités personnelles et sociales du recourant ainsi que de ses ressources mobilisables, l'argumentation du recourant ne permet pas de mettre en doute les conclusions de l'expertise qui qualifie de légère l'intensité des troubles retenus. Le recourant n'a fait au demeurant état d'aucun élément objectif permettant de retenir une intensité des troubles d'une gravité supérieure à celle retenue par l'expert. Ces éléments permettent ainsi d'écarter, au degré de la vraisemblance prépondérante, le caractère incapacitant des troubles retenus par l'expert. Ce second grief tombe donc aussi à faux.</w:t>
      </w:r>
    </w:p>
    <w:p>
      <w:r>
        <w:rPr>
          <w:b/>
        </w:rPr>
        <w:t>E. 13</w:t>
      </w:r>
    </w:p>
    <w:p>
      <w:r>
        <w:t>Au vu de ce qui précède, la Cour de céans est d'avis que l'expertise psychiatrique du Dr J______ du 27 juin 2024 a pleine valeur probante. Les conclusions de l'expertise psychiatrique du Dr J______ ne permettent pas de retenir une quelconque diminution de la capacité de travail du recourant sur le plan psychique. Au surplus, aucune pièce médicale du dossier ne permet de considérer que la situation d'un point de vue psychique se serait modifiée au point d'entraîner, au degré de la vraisemblance prépondérante, une incapacité de travail supérieure à celle retenue en février 2010, soit une capacité de travail de 75% dans une activité adaptée dès juillet 2007 (cf. décision de l'OAI du 25 février 2010, p. 4).</w:t>
      </w:r>
    </w:p>
    <w:p>
      <w:r>
        <w:rPr>
          <w:b/>
        </w:rPr>
        <w:t>E. 14</w:t>
      </w:r>
    </w:p>
    <w:p>
      <w:r>
        <w:t>Il ne ressort pas du dossier de la procédure que l'expert rhumatologue et l'expert psychiatre aient procédé à une analyse concertée de l'éventuel caractère invalidant des atteintes somatiques (diagnostics de syndrome cervicobrachial récurrent, sans signe radiculaire irritatif ou déficitaire, et de syndrome dorso-lombaire sans signe radiculaire irritatif ou déficitaire retenus par le Dr H______) et des troubles psychiatriques susvisés. Si une évaluation consensuelle du cas aurait certes été souhaitable, les conclusions de deux expertises permettent toutefois de retenir que la capacité de travail du recourant dans son activité habituelle de maçon/nettoyeur est nulle depuis le 19 décembre 2000 au vu des limitations fonctionnelles identifiées par l'expert rhumatologue (éviter une position statique et prolongée assise, debout, en rotation-flexion du tronc, en porte-à-faux, en extension et rotation extrême ainsi que des mouvements répétitifs avec la tête, le port de charges limité à 10 kg occasionnel et à 5 kg répétitif avec un rythme de travail régulier) et qu'elle est de 75% dans une activité légère, sédentaire et simple intellectuellement respectant les limitations susmentionnées. Une analyse consensuelle par les deux experts n'était quoi qu'il en soit pas obligatoire en application de la jurisprudence fédérale (cf. ATF 143 V 124 consid. 2.2.4 et les références citées).</w:t>
      </w:r>
    </w:p>
    <w:p>
      <w:r>
        <w:rPr>
          <w:b/>
        </w:rPr>
        <w:t>E. 15</w:t>
      </w:r>
    </w:p>
    <w:p>
      <w:r>
        <w:t>À l'aune de ce qui précède, le recours est rejeté. Au vu du sort du recours, il y a lieu de condamner le recourant au paiement d'un émolument de CHF 200.- (art. 69 al. 1bis LAI).</w:t>
      </w:r>
    </w:p>
    <w:p>
      <w:r>
        <w:t>A/3573/2024 - 28/28 -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